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0BA0" w14:textId="77777777" w:rsidR="00AF5E24" w:rsidRDefault="00000000">
      <w:pPr>
        <w:jc w:val="center"/>
      </w:pPr>
      <w:r>
        <w:rPr>
          <w:b/>
          <w:bCs/>
          <w:color w:val="014344"/>
          <w:sz w:val="36"/>
          <w:szCs w:val="36"/>
        </w:rPr>
        <w:t>Britts Imperial College Australia Pty Ltd</w:t>
      </w:r>
    </w:p>
    <w:p w14:paraId="35EEBD50" w14:textId="77777777" w:rsidR="00AF5E24" w:rsidRDefault="00000000">
      <w:pPr>
        <w:spacing w:after="40"/>
        <w:jc w:val="center"/>
      </w:pPr>
      <w:r>
        <w:rPr>
          <w:b/>
          <w:bCs/>
          <w:color w:val="014344"/>
          <w:sz w:val="30"/>
          <w:szCs w:val="30"/>
        </w:rPr>
        <w:t>Access and Equity Policy</w:t>
      </w:r>
    </w:p>
    <w:p w14:paraId="22E164C8" w14:textId="77777777" w:rsidR="00AF5E24" w:rsidRDefault="00000000">
      <w:pPr>
        <w:pBdr>
          <w:bottom w:val="single" w:sz="10" w:space="6" w:color="ED8630"/>
        </w:pBdr>
        <w:spacing w:after="240"/>
        <w:jc w:val="center"/>
      </w:pPr>
      <w:r>
        <w:rPr>
          <w:color w:val="555555"/>
          <w:sz w:val="20"/>
          <w:szCs w:val="20"/>
        </w:rPr>
        <w:t>RTO Code: 5015      |      ABN: 18 072 105 161</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5926"/>
      </w:tblGrid>
      <w:tr w:rsidR="00AF5E24" w14:paraId="45FCC9B6"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08" w:type="dxa"/>
              <w:bottom w:w="80" w:type="dxa"/>
              <w:right w:w="108" w:type="dxa"/>
            </w:tcMar>
            <w:vAlign w:val="center"/>
          </w:tcPr>
          <w:p w14:paraId="3BE40168" w14:textId="77777777" w:rsidR="00AF5E24" w:rsidRDefault="00000000">
            <w:pPr>
              <w:spacing w:line="264" w:lineRule="auto"/>
            </w:pPr>
            <w:r>
              <w:rPr>
                <w:b/>
                <w:bCs/>
                <w:color w:val="014344"/>
                <w:sz w:val="21"/>
                <w:szCs w:val="21"/>
              </w:rPr>
              <w:t>Registered training organisation</w:t>
            </w:r>
          </w:p>
        </w:tc>
        <w:tc>
          <w:tcPr>
            <w:tcW w:w="59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516C7D3" w14:textId="77777777" w:rsidR="00AF5E24" w:rsidRDefault="00000000">
            <w:pPr>
              <w:spacing w:line="264" w:lineRule="auto"/>
            </w:pPr>
            <w:r>
              <w:rPr>
                <w:sz w:val="21"/>
                <w:szCs w:val="21"/>
              </w:rPr>
              <w:t>Britts Imperial College Australia Pty Ltd (RTO Code 5015)</w:t>
            </w:r>
          </w:p>
        </w:tc>
      </w:tr>
      <w:tr w:rsidR="00AF5E24" w14:paraId="476F7DE4"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08" w:type="dxa"/>
              <w:bottom w:w="80" w:type="dxa"/>
              <w:right w:w="108" w:type="dxa"/>
            </w:tcMar>
            <w:vAlign w:val="center"/>
          </w:tcPr>
          <w:p w14:paraId="0DD31FB7" w14:textId="77777777" w:rsidR="00AF5E24" w:rsidRDefault="00000000">
            <w:pPr>
              <w:spacing w:line="264" w:lineRule="auto"/>
            </w:pPr>
            <w:r>
              <w:rPr>
                <w:b/>
                <w:bCs/>
                <w:color w:val="014344"/>
                <w:sz w:val="21"/>
                <w:szCs w:val="21"/>
              </w:rPr>
              <w:t>Document title</w:t>
            </w:r>
          </w:p>
        </w:tc>
        <w:tc>
          <w:tcPr>
            <w:tcW w:w="59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777465BA" w14:textId="77777777" w:rsidR="00AF5E24" w:rsidRDefault="00000000">
            <w:pPr>
              <w:spacing w:line="264" w:lineRule="auto"/>
            </w:pPr>
            <w:r>
              <w:rPr>
                <w:sz w:val="21"/>
                <w:szCs w:val="21"/>
              </w:rPr>
              <w:t>Access and Equity Policy</w:t>
            </w:r>
          </w:p>
        </w:tc>
      </w:tr>
      <w:tr w:rsidR="00AF5E24" w14:paraId="2ECF3643"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08" w:type="dxa"/>
              <w:bottom w:w="80" w:type="dxa"/>
              <w:right w:w="108" w:type="dxa"/>
            </w:tcMar>
            <w:vAlign w:val="center"/>
          </w:tcPr>
          <w:p w14:paraId="1B3D6E45" w14:textId="77777777" w:rsidR="00AF5E24" w:rsidRDefault="00000000">
            <w:pPr>
              <w:spacing w:line="264" w:lineRule="auto"/>
            </w:pPr>
            <w:r>
              <w:rPr>
                <w:b/>
                <w:bCs/>
                <w:color w:val="014344"/>
                <w:sz w:val="21"/>
                <w:szCs w:val="21"/>
              </w:rPr>
              <w:t>Policy owner</w:t>
            </w:r>
          </w:p>
        </w:tc>
        <w:tc>
          <w:tcPr>
            <w:tcW w:w="59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1EBC09C3" w14:textId="77777777" w:rsidR="00AF5E24" w:rsidRDefault="00000000">
            <w:pPr>
              <w:spacing w:line="264" w:lineRule="auto"/>
            </w:pPr>
            <w:r>
              <w:rPr>
                <w:sz w:val="21"/>
                <w:szCs w:val="21"/>
              </w:rPr>
              <w:t>Chief Executive Officer (CEO) / Compliance Manager</w:t>
            </w:r>
          </w:p>
        </w:tc>
      </w:tr>
      <w:tr w:rsidR="00AF5E24" w14:paraId="6A302790"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08" w:type="dxa"/>
              <w:bottom w:w="80" w:type="dxa"/>
              <w:right w:w="108" w:type="dxa"/>
            </w:tcMar>
            <w:vAlign w:val="center"/>
          </w:tcPr>
          <w:p w14:paraId="5E617990" w14:textId="77777777" w:rsidR="00AF5E24" w:rsidRDefault="00000000">
            <w:pPr>
              <w:spacing w:line="264" w:lineRule="auto"/>
            </w:pPr>
            <w:r>
              <w:rPr>
                <w:b/>
                <w:bCs/>
                <w:color w:val="014344"/>
                <w:sz w:val="21"/>
                <w:szCs w:val="21"/>
              </w:rPr>
              <w:t>Applies to</w:t>
            </w:r>
          </w:p>
        </w:tc>
        <w:tc>
          <w:tcPr>
            <w:tcW w:w="59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C815F41" w14:textId="77777777" w:rsidR="00AF5E24" w:rsidRDefault="00000000">
            <w:pPr>
              <w:spacing w:line="264" w:lineRule="auto"/>
            </w:pPr>
            <w:r>
              <w:rPr>
                <w:sz w:val="21"/>
                <w:szCs w:val="21"/>
              </w:rPr>
              <w:t>All staff, trainers, assessors, contractors and students of Britts Imperial College Australia</w:t>
            </w:r>
          </w:p>
        </w:tc>
      </w:tr>
      <w:tr w:rsidR="00AF5E24" w14:paraId="7C8F3359"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08" w:type="dxa"/>
              <w:bottom w:w="80" w:type="dxa"/>
              <w:right w:w="108" w:type="dxa"/>
            </w:tcMar>
            <w:vAlign w:val="center"/>
          </w:tcPr>
          <w:p w14:paraId="546AAF2E" w14:textId="77777777" w:rsidR="00AF5E24" w:rsidRDefault="00000000">
            <w:pPr>
              <w:spacing w:line="264" w:lineRule="auto"/>
            </w:pPr>
            <w:r>
              <w:rPr>
                <w:b/>
                <w:bCs/>
                <w:color w:val="014344"/>
                <w:sz w:val="21"/>
                <w:szCs w:val="21"/>
              </w:rPr>
              <w:t>Version</w:t>
            </w:r>
          </w:p>
        </w:tc>
        <w:tc>
          <w:tcPr>
            <w:tcW w:w="59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1BCF58D2" w14:textId="2D7C30FB" w:rsidR="00AF5E24" w:rsidRDefault="00000000">
            <w:pPr>
              <w:spacing w:line="264" w:lineRule="auto"/>
            </w:pPr>
            <w:r>
              <w:rPr>
                <w:sz w:val="21"/>
                <w:szCs w:val="21"/>
              </w:rPr>
              <w:t>1.</w:t>
            </w:r>
            <w:r w:rsidR="00405787">
              <w:rPr>
                <w:sz w:val="21"/>
                <w:szCs w:val="21"/>
              </w:rPr>
              <w:t>1</w:t>
            </w:r>
          </w:p>
        </w:tc>
      </w:tr>
      <w:tr w:rsidR="00AF5E24" w14:paraId="717CF858"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08" w:type="dxa"/>
              <w:bottom w:w="80" w:type="dxa"/>
              <w:right w:w="108" w:type="dxa"/>
            </w:tcMar>
            <w:vAlign w:val="center"/>
          </w:tcPr>
          <w:p w14:paraId="1CB1CCFA" w14:textId="77777777" w:rsidR="00AF5E24" w:rsidRDefault="00000000">
            <w:pPr>
              <w:spacing w:line="264" w:lineRule="auto"/>
            </w:pPr>
            <w:r>
              <w:rPr>
                <w:b/>
                <w:bCs/>
                <w:color w:val="014344"/>
                <w:sz w:val="21"/>
                <w:szCs w:val="21"/>
              </w:rPr>
              <w:t>Approved by</w:t>
            </w:r>
          </w:p>
        </w:tc>
        <w:tc>
          <w:tcPr>
            <w:tcW w:w="59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6C115F2B" w14:textId="77777777" w:rsidR="00AF5E24" w:rsidRDefault="00000000">
            <w:pPr>
              <w:spacing w:line="264" w:lineRule="auto"/>
            </w:pPr>
            <w:r>
              <w:rPr>
                <w:sz w:val="21"/>
                <w:szCs w:val="21"/>
              </w:rPr>
              <w:t>Ms Vanessa Gomez Canon, Chief Executive Officer</w:t>
            </w:r>
          </w:p>
        </w:tc>
      </w:tr>
      <w:tr w:rsidR="00AF5E24" w14:paraId="525E48E7"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08" w:type="dxa"/>
              <w:bottom w:w="80" w:type="dxa"/>
              <w:right w:w="108" w:type="dxa"/>
            </w:tcMar>
            <w:vAlign w:val="center"/>
          </w:tcPr>
          <w:p w14:paraId="62502E65" w14:textId="77777777" w:rsidR="00AF5E24" w:rsidRDefault="00000000">
            <w:pPr>
              <w:spacing w:line="264" w:lineRule="auto"/>
            </w:pPr>
            <w:r>
              <w:rPr>
                <w:b/>
                <w:bCs/>
                <w:color w:val="014344"/>
                <w:sz w:val="21"/>
                <w:szCs w:val="21"/>
              </w:rPr>
              <w:t>Date approved</w:t>
            </w:r>
          </w:p>
        </w:tc>
        <w:tc>
          <w:tcPr>
            <w:tcW w:w="59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910BE38" w14:textId="540792F3" w:rsidR="00AF5E24" w:rsidRDefault="00C2119A">
            <w:pPr>
              <w:spacing w:line="264" w:lineRule="auto"/>
            </w:pPr>
            <w:r>
              <w:t>04 December 2025</w:t>
            </w:r>
          </w:p>
        </w:tc>
      </w:tr>
      <w:tr w:rsidR="00AF5E24" w14:paraId="4DCE054B"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08" w:type="dxa"/>
              <w:bottom w:w="80" w:type="dxa"/>
              <w:right w:w="108" w:type="dxa"/>
            </w:tcMar>
            <w:vAlign w:val="center"/>
          </w:tcPr>
          <w:p w14:paraId="061FA89A" w14:textId="77777777" w:rsidR="00AF5E24" w:rsidRDefault="00000000">
            <w:pPr>
              <w:spacing w:line="264" w:lineRule="auto"/>
            </w:pPr>
            <w:r>
              <w:rPr>
                <w:b/>
                <w:bCs/>
                <w:color w:val="014344"/>
                <w:sz w:val="21"/>
                <w:szCs w:val="21"/>
              </w:rPr>
              <w:t>Next review date</w:t>
            </w:r>
          </w:p>
        </w:tc>
        <w:tc>
          <w:tcPr>
            <w:tcW w:w="59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0793D7E4" w14:textId="1DC234F2" w:rsidR="00AF5E24" w:rsidRPr="00C2119A" w:rsidRDefault="00C2119A">
            <w:pPr>
              <w:spacing w:line="264" w:lineRule="auto"/>
              <w:rPr>
                <w:sz w:val="21"/>
                <w:szCs w:val="21"/>
              </w:rPr>
            </w:pPr>
            <w:r>
              <w:rPr>
                <w:sz w:val="21"/>
                <w:szCs w:val="21"/>
              </w:rPr>
              <w:t>04 December 2026 (or earlier if the Standards or relevant legislation change)</w:t>
            </w:r>
          </w:p>
        </w:tc>
      </w:tr>
    </w:tbl>
    <w:p w14:paraId="73ADE250" w14:textId="77777777" w:rsidR="00AF5E24" w:rsidRDefault="00000000">
      <w:pPr>
        <w:pBdr>
          <w:bottom w:val="single" w:sz="4" w:space="4" w:color="BFD3D3"/>
        </w:pBdr>
        <w:spacing w:before="320" w:after="140"/>
      </w:pPr>
      <w:r>
        <w:rPr>
          <w:b/>
          <w:bCs/>
          <w:color w:val="014344"/>
          <w:sz w:val="28"/>
          <w:szCs w:val="28"/>
        </w:rPr>
        <w:t>Contents</w:t>
      </w:r>
    </w:p>
    <w:sdt>
      <w:sdtPr>
        <w:rPr>
          <w:b w:val="0"/>
          <w:bCs w:val="0"/>
          <w:color w:val="222222"/>
        </w:rPr>
        <w:alias w:val="Contents"/>
        <w:id w:val="-1736546384"/>
      </w:sdtPr>
      <w:sdtContent>
        <w:p w14:paraId="3481C363" w14:textId="74DDFC85" w:rsidR="002956F9" w:rsidRDefault="00000000">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r>
            <w:fldChar w:fldCharType="begin"/>
          </w:r>
          <w:r>
            <w:instrText>TOC \h \o "1-1"</w:instrText>
          </w:r>
          <w:r>
            <w:fldChar w:fldCharType="separate"/>
          </w:r>
          <w:hyperlink w:anchor="_Toc232163868" w:history="1">
            <w:r w:rsidR="002956F9" w:rsidRPr="00374566">
              <w:rPr>
                <w:rStyle w:val="Hyperlink"/>
                <w:noProof/>
              </w:rPr>
              <w:t>1. Purpose</w:t>
            </w:r>
            <w:r w:rsidR="002956F9">
              <w:rPr>
                <w:noProof/>
              </w:rPr>
              <w:tab/>
            </w:r>
            <w:r w:rsidR="002956F9">
              <w:rPr>
                <w:noProof/>
              </w:rPr>
              <w:fldChar w:fldCharType="begin"/>
            </w:r>
            <w:r w:rsidR="002956F9">
              <w:rPr>
                <w:noProof/>
              </w:rPr>
              <w:instrText xml:space="preserve"> PAGEREF _Toc232163868 \h </w:instrText>
            </w:r>
            <w:r w:rsidR="002956F9">
              <w:rPr>
                <w:noProof/>
              </w:rPr>
            </w:r>
            <w:r w:rsidR="002956F9">
              <w:rPr>
                <w:noProof/>
              </w:rPr>
              <w:fldChar w:fldCharType="separate"/>
            </w:r>
            <w:r w:rsidR="002956F9">
              <w:rPr>
                <w:noProof/>
              </w:rPr>
              <w:t>2</w:t>
            </w:r>
            <w:r w:rsidR="002956F9">
              <w:rPr>
                <w:noProof/>
              </w:rPr>
              <w:fldChar w:fldCharType="end"/>
            </w:r>
          </w:hyperlink>
        </w:p>
        <w:p w14:paraId="7131738B" w14:textId="7EF95DB8"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69" w:history="1">
            <w:r w:rsidRPr="00374566">
              <w:rPr>
                <w:rStyle w:val="Hyperlink"/>
                <w:noProof/>
              </w:rPr>
              <w:t>2. Scope</w:t>
            </w:r>
            <w:r>
              <w:rPr>
                <w:noProof/>
              </w:rPr>
              <w:tab/>
            </w:r>
            <w:r>
              <w:rPr>
                <w:noProof/>
              </w:rPr>
              <w:fldChar w:fldCharType="begin"/>
            </w:r>
            <w:r>
              <w:rPr>
                <w:noProof/>
              </w:rPr>
              <w:instrText xml:space="preserve"> PAGEREF _Toc232163869 \h </w:instrText>
            </w:r>
            <w:r>
              <w:rPr>
                <w:noProof/>
              </w:rPr>
            </w:r>
            <w:r>
              <w:rPr>
                <w:noProof/>
              </w:rPr>
              <w:fldChar w:fldCharType="separate"/>
            </w:r>
            <w:r>
              <w:rPr>
                <w:noProof/>
              </w:rPr>
              <w:t>2</w:t>
            </w:r>
            <w:r>
              <w:rPr>
                <w:noProof/>
              </w:rPr>
              <w:fldChar w:fldCharType="end"/>
            </w:r>
          </w:hyperlink>
        </w:p>
        <w:p w14:paraId="112A9FBF" w14:textId="2A7EDEBA"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0" w:history="1">
            <w:r w:rsidRPr="00374566">
              <w:rPr>
                <w:rStyle w:val="Hyperlink"/>
                <w:noProof/>
              </w:rPr>
              <w:t>3. Legislative and regulatory framework</w:t>
            </w:r>
            <w:r>
              <w:rPr>
                <w:noProof/>
              </w:rPr>
              <w:tab/>
            </w:r>
            <w:r>
              <w:rPr>
                <w:noProof/>
              </w:rPr>
              <w:fldChar w:fldCharType="begin"/>
            </w:r>
            <w:r>
              <w:rPr>
                <w:noProof/>
              </w:rPr>
              <w:instrText xml:space="preserve"> PAGEREF _Toc232163870 \h </w:instrText>
            </w:r>
            <w:r>
              <w:rPr>
                <w:noProof/>
              </w:rPr>
            </w:r>
            <w:r>
              <w:rPr>
                <w:noProof/>
              </w:rPr>
              <w:fldChar w:fldCharType="separate"/>
            </w:r>
            <w:r>
              <w:rPr>
                <w:noProof/>
              </w:rPr>
              <w:t>2</w:t>
            </w:r>
            <w:r>
              <w:rPr>
                <w:noProof/>
              </w:rPr>
              <w:fldChar w:fldCharType="end"/>
            </w:r>
          </w:hyperlink>
        </w:p>
        <w:p w14:paraId="2B3F2CCB" w14:textId="2B310FBA"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1" w:history="1">
            <w:r w:rsidRPr="00374566">
              <w:rPr>
                <w:rStyle w:val="Hyperlink"/>
                <w:noProof/>
              </w:rPr>
              <w:t>4. Definitions</w:t>
            </w:r>
            <w:r>
              <w:rPr>
                <w:noProof/>
              </w:rPr>
              <w:tab/>
            </w:r>
            <w:r>
              <w:rPr>
                <w:noProof/>
              </w:rPr>
              <w:fldChar w:fldCharType="begin"/>
            </w:r>
            <w:r>
              <w:rPr>
                <w:noProof/>
              </w:rPr>
              <w:instrText xml:space="preserve"> PAGEREF _Toc232163871 \h </w:instrText>
            </w:r>
            <w:r>
              <w:rPr>
                <w:noProof/>
              </w:rPr>
            </w:r>
            <w:r>
              <w:rPr>
                <w:noProof/>
              </w:rPr>
              <w:fldChar w:fldCharType="separate"/>
            </w:r>
            <w:r>
              <w:rPr>
                <w:noProof/>
              </w:rPr>
              <w:t>3</w:t>
            </w:r>
            <w:r>
              <w:rPr>
                <w:noProof/>
              </w:rPr>
              <w:fldChar w:fldCharType="end"/>
            </w:r>
          </w:hyperlink>
        </w:p>
        <w:p w14:paraId="31A62962" w14:textId="55044030"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2" w:history="1">
            <w:r w:rsidRPr="00374566">
              <w:rPr>
                <w:rStyle w:val="Hyperlink"/>
                <w:noProof/>
              </w:rPr>
              <w:t>5. Policy statement and responsibilities</w:t>
            </w:r>
            <w:r>
              <w:rPr>
                <w:noProof/>
              </w:rPr>
              <w:tab/>
            </w:r>
            <w:r>
              <w:rPr>
                <w:noProof/>
              </w:rPr>
              <w:fldChar w:fldCharType="begin"/>
            </w:r>
            <w:r>
              <w:rPr>
                <w:noProof/>
              </w:rPr>
              <w:instrText xml:space="preserve"> PAGEREF _Toc232163872 \h </w:instrText>
            </w:r>
            <w:r>
              <w:rPr>
                <w:noProof/>
              </w:rPr>
            </w:r>
            <w:r>
              <w:rPr>
                <w:noProof/>
              </w:rPr>
              <w:fldChar w:fldCharType="separate"/>
            </w:r>
            <w:r>
              <w:rPr>
                <w:noProof/>
              </w:rPr>
              <w:t>4</w:t>
            </w:r>
            <w:r>
              <w:rPr>
                <w:noProof/>
              </w:rPr>
              <w:fldChar w:fldCharType="end"/>
            </w:r>
          </w:hyperlink>
        </w:p>
        <w:p w14:paraId="4E8E72F0" w14:textId="11E1EE93"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3" w:history="1">
            <w:r w:rsidRPr="00374566">
              <w:rPr>
                <w:rStyle w:val="Hyperlink"/>
                <w:noProof/>
              </w:rPr>
              <w:t>6. Principles of access and equity</w:t>
            </w:r>
            <w:r>
              <w:rPr>
                <w:noProof/>
              </w:rPr>
              <w:tab/>
            </w:r>
            <w:r>
              <w:rPr>
                <w:noProof/>
              </w:rPr>
              <w:fldChar w:fldCharType="begin"/>
            </w:r>
            <w:r>
              <w:rPr>
                <w:noProof/>
              </w:rPr>
              <w:instrText xml:space="preserve"> PAGEREF _Toc232163873 \h </w:instrText>
            </w:r>
            <w:r>
              <w:rPr>
                <w:noProof/>
              </w:rPr>
            </w:r>
            <w:r>
              <w:rPr>
                <w:noProof/>
              </w:rPr>
              <w:fldChar w:fldCharType="separate"/>
            </w:r>
            <w:r>
              <w:rPr>
                <w:noProof/>
              </w:rPr>
              <w:t>5</w:t>
            </w:r>
            <w:r>
              <w:rPr>
                <w:noProof/>
              </w:rPr>
              <w:fldChar w:fldCharType="end"/>
            </w:r>
          </w:hyperlink>
        </w:p>
        <w:p w14:paraId="49DC2EF6" w14:textId="0A75F767"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4" w:history="1">
            <w:r w:rsidRPr="00374566">
              <w:rPr>
                <w:rStyle w:val="Hyperlink"/>
                <w:noProof/>
              </w:rPr>
              <w:t>7. Equal access to training</w:t>
            </w:r>
            <w:r>
              <w:rPr>
                <w:noProof/>
              </w:rPr>
              <w:tab/>
            </w:r>
            <w:r>
              <w:rPr>
                <w:noProof/>
              </w:rPr>
              <w:fldChar w:fldCharType="begin"/>
            </w:r>
            <w:r>
              <w:rPr>
                <w:noProof/>
              </w:rPr>
              <w:instrText xml:space="preserve"> PAGEREF _Toc232163874 \h </w:instrText>
            </w:r>
            <w:r>
              <w:rPr>
                <w:noProof/>
              </w:rPr>
            </w:r>
            <w:r>
              <w:rPr>
                <w:noProof/>
              </w:rPr>
              <w:fldChar w:fldCharType="separate"/>
            </w:r>
            <w:r>
              <w:rPr>
                <w:noProof/>
              </w:rPr>
              <w:t>5</w:t>
            </w:r>
            <w:r>
              <w:rPr>
                <w:noProof/>
              </w:rPr>
              <w:fldChar w:fldCharType="end"/>
            </w:r>
          </w:hyperlink>
        </w:p>
        <w:p w14:paraId="1F02820A" w14:textId="36E95D53"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5" w:history="1">
            <w:r w:rsidRPr="00374566">
              <w:rPr>
                <w:rStyle w:val="Hyperlink"/>
                <w:noProof/>
              </w:rPr>
              <w:t>8. Reasonable adjustment and learner support</w:t>
            </w:r>
            <w:r>
              <w:rPr>
                <w:noProof/>
              </w:rPr>
              <w:tab/>
            </w:r>
            <w:r>
              <w:rPr>
                <w:noProof/>
              </w:rPr>
              <w:fldChar w:fldCharType="begin"/>
            </w:r>
            <w:r>
              <w:rPr>
                <w:noProof/>
              </w:rPr>
              <w:instrText xml:space="preserve"> PAGEREF _Toc232163875 \h </w:instrText>
            </w:r>
            <w:r>
              <w:rPr>
                <w:noProof/>
              </w:rPr>
            </w:r>
            <w:r>
              <w:rPr>
                <w:noProof/>
              </w:rPr>
              <w:fldChar w:fldCharType="separate"/>
            </w:r>
            <w:r>
              <w:rPr>
                <w:noProof/>
              </w:rPr>
              <w:t>5</w:t>
            </w:r>
            <w:r>
              <w:rPr>
                <w:noProof/>
              </w:rPr>
              <w:fldChar w:fldCharType="end"/>
            </w:r>
          </w:hyperlink>
        </w:p>
        <w:p w14:paraId="3E4377F9" w14:textId="7B2D2DB2"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6" w:history="1">
            <w:r w:rsidRPr="00374566">
              <w:rPr>
                <w:rStyle w:val="Hyperlink"/>
                <w:noProof/>
              </w:rPr>
              <w:t>9. Supporting diverse learner groups</w:t>
            </w:r>
            <w:r>
              <w:rPr>
                <w:noProof/>
              </w:rPr>
              <w:tab/>
            </w:r>
            <w:r>
              <w:rPr>
                <w:noProof/>
              </w:rPr>
              <w:fldChar w:fldCharType="begin"/>
            </w:r>
            <w:r>
              <w:rPr>
                <w:noProof/>
              </w:rPr>
              <w:instrText xml:space="preserve"> PAGEREF _Toc232163876 \h </w:instrText>
            </w:r>
            <w:r>
              <w:rPr>
                <w:noProof/>
              </w:rPr>
            </w:r>
            <w:r>
              <w:rPr>
                <w:noProof/>
              </w:rPr>
              <w:fldChar w:fldCharType="separate"/>
            </w:r>
            <w:r>
              <w:rPr>
                <w:noProof/>
              </w:rPr>
              <w:t>6</w:t>
            </w:r>
            <w:r>
              <w:rPr>
                <w:noProof/>
              </w:rPr>
              <w:fldChar w:fldCharType="end"/>
            </w:r>
          </w:hyperlink>
        </w:p>
        <w:p w14:paraId="3D5E6A18" w14:textId="7FF645A3"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7" w:history="1">
            <w:r w:rsidRPr="00374566">
              <w:rPr>
                <w:rStyle w:val="Hyperlink"/>
                <w:noProof/>
              </w:rPr>
              <w:t>10. Preventing discrimination, harassment and bullying</w:t>
            </w:r>
            <w:r>
              <w:rPr>
                <w:noProof/>
              </w:rPr>
              <w:tab/>
            </w:r>
            <w:r>
              <w:rPr>
                <w:noProof/>
              </w:rPr>
              <w:fldChar w:fldCharType="begin"/>
            </w:r>
            <w:r>
              <w:rPr>
                <w:noProof/>
              </w:rPr>
              <w:instrText xml:space="preserve"> PAGEREF _Toc232163877 \h </w:instrText>
            </w:r>
            <w:r>
              <w:rPr>
                <w:noProof/>
              </w:rPr>
            </w:r>
            <w:r>
              <w:rPr>
                <w:noProof/>
              </w:rPr>
              <w:fldChar w:fldCharType="separate"/>
            </w:r>
            <w:r>
              <w:rPr>
                <w:noProof/>
              </w:rPr>
              <w:t>6</w:t>
            </w:r>
            <w:r>
              <w:rPr>
                <w:noProof/>
              </w:rPr>
              <w:fldChar w:fldCharType="end"/>
            </w:r>
          </w:hyperlink>
        </w:p>
        <w:p w14:paraId="6A18DE01" w14:textId="47D7DBB9"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8" w:history="1">
            <w:r w:rsidRPr="00374566">
              <w:rPr>
                <w:rStyle w:val="Hyperlink"/>
                <w:noProof/>
              </w:rPr>
              <w:t>11. Fees and financial access</w:t>
            </w:r>
            <w:r>
              <w:rPr>
                <w:noProof/>
              </w:rPr>
              <w:tab/>
            </w:r>
            <w:r>
              <w:rPr>
                <w:noProof/>
              </w:rPr>
              <w:fldChar w:fldCharType="begin"/>
            </w:r>
            <w:r>
              <w:rPr>
                <w:noProof/>
              </w:rPr>
              <w:instrText xml:space="preserve"> PAGEREF _Toc232163878 \h </w:instrText>
            </w:r>
            <w:r>
              <w:rPr>
                <w:noProof/>
              </w:rPr>
            </w:r>
            <w:r>
              <w:rPr>
                <w:noProof/>
              </w:rPr>
              <w:fldChar w:fldCharType="separate"/>
            </w:r>
            <w:r>
              <w:rPr>
                <w:noProof/>
              </w:rPr>
              <w:t>6</w:t>
            </w:r>
            <w:r>
              <w:rPr>
                <w:noProof/>
              </w:rPr>
              <w:fldChar w:fldCharType="end"/>
            </w:r>
          </w:hyperlink>
        </w:p>
        <w:p w14:paraId="5709AA8C" w14:textId="27A5A518"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79" w:history="1">
            <w:r w:rsidRPr="00374566">
              <w:rPr>
                <w:rStyle w:val="Hyperlink"/>
                <w:noProof/>
              </w:rPr>
              <w:t>12. Complaints and appeals</w:t>
            </w:r>
            <w:r>
              <w:rPr>
                <w:noProof/>
              </w:rPr>
              <w:tab/>
            </w:r>
            <w:r>
              <w:rPr>
                <w:noProof/>
              </w:rPr>
              <w:fldChar w:fldCharType="begin"/>
            </w:r>
            <w:r>
              <w:rPr>
                <w:noProof/>
              </w:rPr>
              <w:instrText xml:space="preserve"> PAGEREF _Toc232163879 \h </w:instrText>
            </w:r>
            <w:r>
              <w:rPr>
                <w:noProof/>
              </w:rPr>
            </w:r>
            <w:r>
              <w:rPr>
                <w:noProof/>
              </w:rPr>
              <w:fldChar w:fldCharType="separate"/>
            </w:r>
            <w:r>
              <w:rPr>
                <w:noProof/>
              </w:rPr>
              <w:t>7</w:t>
            </w:r>
            <w:r>
              <w:rPr>
                <w:noProof/>
              </w:rPr>
              <w:fldChar w:fldCharType="end"/>
            </w:r>
          </w:hyperlink>
        </w:p>
        <w:p w14:paraId="28E0A310" w14:textId="66F8A15A"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80" w:history="1">
            <w:r w:rsidRPr="00374566">
              <w:rPr>
                <w:rStyle w:val="Hyperlink"/>
                <w:noProof/>
              </w:rPr>
              <w:t>13. Continuous improvement and self-assurance</w:t>
            </w:r>
            <w:r>
              <w:rPr>
                <w:noProof/>
              </w:rPr>
              <w:tab/>
            </w:r>
            <w:r>
              <w:rPr>
                <w:noProof/>
              </w:rPr>
              <w:fldChar w:fldCharType="begin"/>
            </w:r>
            <w:r>
              <w:rPr>
                <w:noProof/>
              </w:rPr>
              <w:instrText xml:space="preserve"> PAGEREF _Toc232163880 \h </w:instrText>
            </w:r>
            <w:r>
              <w:rPr>
                <w:noProof/>
              </w:rPr>
            </w:r>
            <w:r>
              <w:rPr>
                <w:noProof/>
              </w:rPr>
              <w:fldChar w:fldCharType="separate"/>
            </w:r>
            <w:r>
              <w:rPr>
                <w:noProof/>
              </w:rPr>
              <w:t>7</w:t>
            </w:r>
            <w:r>
              <w:rPr>
                <w:noProof/>
              </w:rPr>
              <w:fldChar w:fldCharType="end"/>
            </w:r>
          </w:hyperlink>
        </w:p>
        <w:p w14:paraId="4CDC6D5C" w14:textId="68BCE490"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81" w:history="1">
            <w:r w:rsidRPr="00374566">
              <w:rPr>
                <w:rStyle w:val="Hyperlink"/>
                <w:noProof/>
              </w:rPr>
              <w:t>14. Related documents and references</w:t>
            </w:r>
            <w:r>
              <w:rPr>
                <w:noProof/>
              </w:rPr>
              <w:tab/>
            </w:r>
            <w:r>
              <w:rPr>
                <w:noProof/>
              </w:rPr>
              <w:fldChar w:fldCharType="begin"/>
            </w:r>
            <w:r>
              <w:rPr>
                <w:noProof/>
              </w:rPr>
              <w:instrText xml:space="preserve"> PAGEREF _Toc232163881 \h </w:instrText>
            </w:r>
            <w:r>
              <w:rPr>
                <w:noProof/>
              </w:rPr>
            </w:r>
            <w:r>
              <w:rPr>
                <w:noProof/>
              </w:rPr>
              <w:fldChar w:fldCharType="separate"/>
            </w:r>
            <w:r>
              <w:rPr>
                <w:noProof/>
              </w:rPr>
              <w:t>7</w:t>
            </w:r>
            <w:r>
              <w:rPr>
                <w:noProof/>
              </w:rPr>
              <w:fldChar w:fldCharType="end"/>
            </w:r>
          </w:hyperlink>
        </w:p>
        <w:p w14:paraId="3F5C4660" w14:textId="61015307" w:rsidR="002956F9" w:rsidRDefault="002956F9">
          <w:pPr>
            <w:pStyle w:val="TOC1"/>
            <w:tabs>
              <w:tab w:val="right" w:leader="dot" w:pos="9016"/>
            </w:tabs>
            <w:rPr>
              <w:rFonts w:asciiTheme="minorHAnsi" w:eastAsiaTheme="minorEastAsia" w:hAnsiTheme="minorHAnsi" w:cstheme="minorBidi"/>
              <w:b w:val="0"/>
              <w:bCs w:val="0"/>
              <w:noProof/>
              <w:color w:val="auto"/>
              <w:kern w:val="2"/>
              <w:sz w:val="24"/>
              <w:szCs w:val="24"/>
              <w14:ligatures w14:val="standardContextual"/>
            </w:rPr>
          </w:pPr>
          <w:hyperlink w:anchor="_Toc232163882" w:history="1">
            <w:r w:rsidRPr="00374566">
              <w:rPr>
                <w:rStyle w:val="Hyperlink"/>
                <w:noProof/>
              </w:rPr>
              <w:t>15. Document control</w:t>
            </w:r>
            <w:r>
              <w:rPr>
                <w:noProof/>
              </w:rPr>
              <w:tab/>
            </w:r>
            <w:r>
              <w:rPr>
                <w:noProof/>
              </w:rPr>
              <w:fldChar w:fldCharType="begin"/>
            </w:r>
            <w:r>
              <w:rPr>
                <w:noProof/>
              </w:rPr>
              <w:instrText xml:space="preserve"> PAGEREF _Toc232163882 \h </w:instrText>
            </w:r>
            <w:r>
              <w:rPr>
                <w:noProof/>
              </w:rPr>
            </w:r>
            <w:r>
              <w:rPr>
                <w:noProof/>
              </w:rPr>
              <w:fldChar w:fldCharType="separate"/>
            </w:r>
            <w:r>
              <w:rPr>
                <w:noProof/>
              </w:rPr>
              <w:t>7</w:t>
            </w:r>
            <w:r>
              <w:rPr>
                <w:noProof/>
              </w:rPr>
              <w:fldChar w:fldCharType="end"/>
            </w:r>
          </w:hyperlink>
        </w:p>
        <w:p w14:paraId="7995C1A4" w14:textId="5204B68D" w:rsidR="00AF5E24" w:rsidRDefault="00000000">
          <w:r>
            <w:fldChar w:fldCharType="end"/>
          </w:r>
        </w:p>
      </w:sdtContent>
    </w:sdt>
    <w:p w14:paraId="0132BAAD" w14:textId="77777777" w:rsidR="00AF5E24" w:rsidRDefault="00000000">
      <w:pPr>
        <w:pStyle w:val="Heading1"/>
        <w:pageBreakBefore/>
      </w:pPr>
      <w:bookmarkStart w:id="0" w:name="_Toc232163868"/>
      <w:r>
        <w:lastRenderedPageBreak/>
        <w:t>1. Purpose</w:t>
      </w:r>
      <w:bookmarkEnd w:id="0"/>
    </w:p>
    <w:p w14:paraId="12302956" w14:textId="77777777" w:rsidR="00AF5E24" w:rsidRDefault="00000000">
      <w:pPr>
        <w:spacing w:after="120" w:line="276" w:lineRule="auto"/>
      </w:pPr>
      <w:r>
        <w:t>This policy sets out how Britts Imperial College Australia provides fair and equal access to its training, assessment and support services for all prospective and current students, regardless of their background, personal characteristics or circumstances. It gives effect to the College’s commitment to fair and equal access to training, regardless of background, and ensures that decisions about enrolment, participation, support and completion are based on merit and on each individual’s capacity to meet the genuine requirements of a training product — never on the basis of an irrelevant personal attribute.</w:t>
      </w:r>
    </w:p>
    <w:p w14:paraId="5CAE7B58" w14:textId="77777777" w:rsidR="00AF5E24" w:rsidRDefault="00000000">
      <w:pPr>
        <w:spacing w:after="120" w:line="276" w:lineRule="auto"/>
      </w:pPr>
      <w:r>
        <w:t>The policy reflects the outcomes-focused approach of the 2025 Standards for Registered Training Organisations (RTOs), under which the College must demonstrate, through its own self-assurance, that students receive the support they need and are treated fairly and inclusively throughout their experience.</w:t>
      </w:r>
    </w:p>
    <w:p w14:paraId="2CBEBFAA" w14:textId="77777777" w:rsidR="00AF5E24" w:rsidRDefault="00000000">
      <w:pPr>
        <w:pStyle w:val="Heading1"/>
      </w:pPr>
      <w:bookmarkStart w:id="1" w:name="_Toc232163869"/>
      <w:r>
        <w:t>2. Scope</w:t>
      </w:r>
      <w:bookmarkEnd w:id="1"/>
    </w:p>
    <w:p w14:paraId="2CCBB314" w14:textId="77777777" w:rsidR="00AF5E24" w:rsidRDefault="00000000">
      <w:pPr>
        <w:spacing w:after="120" w:line="276" w:lineRule="auto"/>
      </w:pPr>
      <w:r>
        <w:t>This policy applies to:</w:t>
      </w:r>
    </w:p>
    <w:p w14:paraId="1DA1C356" w14:textId="77777777" w:rsidR="00AF5E24" w:rsidRDefault="00000000">
      <w:pPr>
        <w:pStyle w:val="ListParagraph"/>
        <w:numPr>
          <w:ilvl w:val="0"/>
          <w:numId w:val="2"/>
        </w:numPr>
        <w:spacing w:after="80" w:line="276" w:lineRule="auto"/>
      </w:pPr>
      <w:r>
        <w:t>all prospective, enrolled and former students of Britts Imperial College Australia;</w:t>
      </w:r>
    </w:p>
    <w:p w14:paraId="61CF6F24" w14:textId="77777777" w:rsidR="00AF5E24" w:rsidRDefault="00000000">
      <w:pPr>
        <w:pStyle w:val="ListParagraph"/>
        <w:numPr>
          <w:ilvl w:val="0"/>
          <w:numId w:val="2"/>
        </w:numPr>
        <w:spacing w:after="80" w:line="276" w:lineRule="auto"/>
      </w:pPr>
      <w:r>
        <w:t>all stages of the student experience, including marketing and recruitment, pre-enrolment information and advice, enrolment and admission, training and assessment, learner support, and the issuing of certification;</w:t>
      </w:r>
    </w:p>
    <w:p w14:paraId="6DE79B0E" w14:textId="77777777" w:rsidR="00AF5E24" w:rsidRDefault="00000000">
      <w:pPr>
        <w:pStyle w:val="ListParagraph"/>
        <w:numPr>
          <w:ilvl w:val="0"/>
          <w:numId w:val="2"/>
        </w:numPr>
        <w:spacing w:after="80" w:line="276" w:lineRule="auto"/>
      </w:pPr>
      <w:r>
        <w:t>all training products on the College’s scope of registration and all delivery modes, including face-to-face, blended, online and workplace-based;</w:t>
      </w:r>
    </w:p>
    <w:p w14:paraId="69346643" w14:textId="77777777" w:rsidR="00AF5E24" w:rsidRDefault="00000000">
      <w:pPr>
        <w:pStyle w:val="ListParagraph"/>
        <w:numPr>
          <w:ilvl w:val="0"/>
          <w:numId w:val="2"/>
        </w:numPr>
        <w:spacing w:after="80" w:line="276" w:lineRule="auto"/>
      </w:pPr>
      <w:r>
        <w:t>all staff, trainers, assessors, contractors and third parties acting on behalf of the College; and</w:t>
      </w:r>
    </w:p>
    <w:p w14:paraId="1A44140D" w14:textId="77777777" w:rsidR="00AF5E24" w:rsidRDefault="00000000">
      <w:pPr>
        <w:pStyle w:val="ListParagraph"/>
        <w:numPr>
          <w:ilvl w:val="0"/>
          <w:numId w:val="2"/>
        </w:numPr>
        <w:spacing w:after="80" w:line="276" w:lineRule="auto"/>
      </w:pPr>
      <w:r>
        <w:t>the College’s facilities, learning resources, technology and online platforms.</w:t>
      </w:r>
    </w:p>
    <w:p w14:paraId="40C1E5EE" w14:textId="77777777" w:rsidR="00AF5E24" w:rsidRDefault="00000000">
      <w:pPr>
        <w:pStyle w:val="Heading1"/>
      </w:pPr>
      <w:bookmarkStart w:id="2" w:name="_Toc232163870"/>
      <w:r>
        <w:t>3. Legislative and regulatory framework</w:t>
      </w:r>
      <w:bookmarkEnd w:id="2"/>
    </w:p>
    <w:p w14:paraId="699E9F92" w14:textId="77777777" w:rsidR="00AF5E24" w:rsidRDefault="00000000">
      <w:pPr>
        <w:spacing w:after="120" w:line="276" w:lineRule="auto"/>
      </w:pPr>
      <w:r>
        <w:t>Britts Imperial College Australia provides access and equity in accordance with the 2025 Standards for RTOs and with Commonwealth and New South Wales anti-discrimination law. The principal instruments are:</w:t>
      </w:r>
    </w:p>
    <w:p w14:paraId="055C8227" w14:textId="77777777" w:rsidR="00AF5E24" w:rsidRDefault="00000000">
      <w:pPr>
        <w:pStyle w:val="ListParagraph"/>
        <w:numPr>
          <w:ilvl w:val="0"/>
          <w:numId w:val="2"/>
        </w:numPr>
        <w:spacing w:after="80" w:line="276" w:lineRule="auto"/>
      </w:pPr>
      <w:r>
        <w:t>the 2025 Standards for RTOs (Outcome Standards and Compliance Standards), in particular the requirements relating to VET student support, fair treatment of students, and a safe and inclusive learning environment;</w:t>
      </w:r>
    </w:p>
    <w:p w14:paraId="48F9CB0A" w14:textId="77777777" w:rsidR="00AF5E24" w:rsidRDefault="00000000">
      <w:pPr>
        <w:pStyle w:val="ListParagraph"/>
        <w:numPr>
          <w:ilvl w:val="0"/>
          <w:numId w:val="2"/>
        </w:numPr>
        <w:spacing w:after="80" w:line="276" w:lineRule="auto"/>
      </w:pPr>
      <w:r>
        <w:t>Racial Discrimination Act 1975 (Cth);</w:t>
      </w:r>
    </w:p>
    <w:p w14:paraId="31EF134E" w14:textId="77777777" w:rsidR="00AF5E24" w:rsidRDefault="00000000">
      <w:pPr>
        <w:pStyle w:val="ListParagraph"/>
        <w:numPr>
          <w:ilvl w:val="0"/>
          <w:numId w:val="2"/>
        </w:numPr>
        <w:spacing w:after="80" w:line="276" w:lineRule="auto"/>
      </w:pPr>
      <w:r>
        <w:t>Sex Discrimination Act 1984 (Cth);</w:t>
      </w:r>
    </w:p>
    <w:p w14:paraId="3BC4548E" w14:textId="77777777" w:rsidR="00AF5E24" w:rsidRDefault="00000000">
      <w:pPr>
        <w:pStyle w:val="ListParagraph"/>
        <w:numPr>
          <w:ilvl w:val="0"/>
          <w:numId w:val="2"/>
        </w:numPr>
        <w:spacing w:after="80" w:line="276" w:lineRule="auto"/>
      </w:pPr>
      <w:r>
        <w:t>Disability Discrimination Act 1992 (Cth) and the Disability Standards for Education 2005;</w:t>
      </w:r>
    </w:p>
    <w:p w14:paraId="75EC8E6B" w14:textId="77777777" w:rsidR="00AF5E24" w:rsidRDefault="00000000">
      <w:pPr>
        <w:pStyle w:val="ListParagraph"/>
        <w:numPr>
          <w:ilvl w:val="0"/>
          <w:numId w:val="2"/>
        </w:numPr>
        <w:spacing w:after="80" w:line="276" w:lineRule="auto"/>
      </w:pPr>
      <w:r>
        <w:t>Age Discrimination Act 2004 (Cth);</w:t>
      </w:r>
    </w:p>
    <w:p w14:paraId="0F209FFA" w14:textId="77777777" w:rsidR="00AF5E24" w:rsidRDefault="00000000">
      <w:pPr>
        <w:pStyle w:val="ListParagraph"/>
        <w:numPr>
          <w:ilvl w:val="0"/>
          <w:numId w:val="2"/>
        </w:numPr>
        <w:spacing w:after="80" w:line="276" w:lineRule="auto"/>
      </w:pPr>
      <w:r>
        <w:lastRenderedPageBreak/>
        <w:t>Australian Human Rights Commission Act 1986 (Cth); and</w:t>
      </w:r>
    </w:p>
    <w:p w14:paraId="71A5EC18" w14:textId="77777777" w:rsidR="00AF5E24" w:rsidRDefault="00000000">
      <w:pPr>
        <w:pStyle w:val="ListParagraph"/>
        <w:numPr>
          <w:ilvl w:val="0"/>
          <w:numId w:val="2"/>
        </w:numPr>
        <w:spacing w:after="80" w:line="276" w:lineRule="auto"/>
      </w:pPr>
      <w:r>
        <w:t>Anti-Discrimination Act 1977 (NSW).</w:t>
      </w:r>
    </w:p>
    <w:p w14:paraId="055F505B" w14:textId="77777777" w:rsidR="00AF5E24" w:rsidRDefault="00000000">
      <w:pPr>
        <w:spacing w:after="120" w:line="276" w:lineRule="auto"/>
      </w:pPr>
      <w:r>
        <w:t>This policy must be read together with the following Britts Imperial College Australia documents:</w:t>
      </w:r>
    </w:p>
    <w:p w14:paraId="349A5B72" w14:textId="77777777" w:rsidR="00AF5E24" w:rsidRDefault="00000000">
      <w:pPr>
        <w:pStyle w:val="ListParagraph"/>
        <w:numPr>
          <w:ilvl w:val="0"/>
          <w:numId w:val="2"/>
        </w:numPr>
        <w:spacing w:after="80" w:line="276" w:lineRule="auto"/>
      </w:pPr>
      <w:r>
        <w:t>Student Support Policy</w:t>
      </w:r>
    </w:p>
    <w:p w14:paraId="20B2FA95" w14:textId="77777777" w:rsidR="00AF5E24" w:rsidRDefault="00000000">
      <w:pPr>
        <w:pStyle w:val="ListParagraph"/>
        <w:numPr>
          <w:ilvl w:val="0"/>
          <w:numId w:val="2"/>
        </w:numPr>
        <w:spacing w:after="80" w:line="276" w:lineRule="auto"/>
      </w:pPr>
      <w:r>
        <w:t>Reasonable Adjustment / Language, Literacy and Numeracy (LLN) Policy</w:t>
      </w:r>
    </w:p>
    <w:p w14:paraId="0D43FBA0" w14:textId="77777777" w:rsidR="00AF5E24" w:rsidRDefault="00000000">
      <w:pPr>
        <w:pStyle w:val="ListParagraph"/>
        <w:numPr>
          <w:ilvl w:val="0"/>
          <w:numId w:val="2"/>
        </w:numPr>
        <w:spacing w:after="80" w:line="276" w:lineRule="auto"/>
      </w:pPr>
      <w:r>
        <w:t>Assessment Policy and Procedure</w:t>
      </w:r>
    </w:p>
    <w:p w14:paraId="0418E645" w14:textId="77777777" w:rsidR="00AF5E24" w:rsidRDefault="00000000">
      <w:pPr>
        <w:pStyle w:val="ListParagraph"/>
        <w:numPr>
          <w:ilvl w:val="0"/>
          <w:numId w:val="2"/>
        </w:numPr>
        <w:spacing w:after="80" w:line="276" w:lineRule="auto"/>
      </w:pPr>
      <w:r>
        <w:t>Complaints and Appeals Policy</w:t>
      </w:r>
    </w:p>
    <w:p w14:paraId="4A46A0EF" w14:textId="77777777" w:rsidR="00AF5E24" w:rsidRDefault="00000000">
      <w:pPr>
        <w:pStyle w:val="ListParagraph"/>
        <w:numPr>
          <w:ilvl w:val="0"/>
          <w:numId w:val="2"/>
        </w:numPr>
        <w:spacing w:after="80" w:line="276" w:lineRule="auto"/>
      </w:pPr>
      <w:r>
        <w:t>Fees, Charges and Refunds Policy</w:t>
      </w:r>
    </w:p>
    <w:p w14:paraId="1298CFB0" w14:textId="77777777" w:rsidR="00AF5E24" w:rsidRDefault="00000000">
      <w:pPr>
        <w:pStyle w:val="ListParagraph"/>
        <w:numPr>
          <w:ilvl w:val="0"/>
          <w:numId w:val="2"/>
        </w:numPr>
        <w:spacing w:after="80" w:line="276" w:lineRule="auto"/>
      </w:pPr>
      <w:r>
        <w:t>Privacy Policy</w:t>
      </w:r>
    </w:p>
    <w:p w14:paraId="0B6444C5" w14:textId="77777777" w:rsidR="00AF5E24" w:rsidRDefault="00000000">
      <w:pPr>
        <w:pStyle w:val="ListParagraph"/>
        <w:numPr>
          <w:ilvl w:val="0"/>
          <w:numId w:val="2"/>
        </w:numPr>
        <w:spacing w:after="80" w:line="276" w:lineRule="auto"/>
      </w:pPr>
      <w:r>
        <w:t>Work Health and Safety Policy</w:t>
      </w:r>
    </w:p>
    <w:p w14:paraId="20AEE507" w14:textId="77777777" w:rsidR="00AF5E24" w:rsidRDefault="00000000">
      <w:pPr>
        <w:pStyle w:val="Heading1"/>
      </w:pPr>
      <w:bookmarkStart w:id="3" w:name="_Toc232163871"/>
      <w:r>
        <w:t>4. Definitions</w:t>
      </w:r>
      <w:bookmarkEnd w:id="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AF5E24" w14:paraId="25F3EF45" w14:textId="77777777">
        <w:trPr>
          <w:tblHeader/>
        </w:trPr>
        <w:tc>
          <w:tcPr>
            <w:tcW w:w="2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7094FE81" w14:textId="77777777" w:rsidR="00AF5E24" w:rsidRDefault="00000000">
            <w:pPr>
              <w:spacing w:line="264" w:lineRule="auto"/>
            </w:pPr>
            <w:r>
              <w:rPr>
                <w:b/>
                <w:bCs/>
                <w:color w:val="FFFFFF"/>
                <w:sz w:val="21"/>
                <w:szCs w:val="21"/>
              </w:rPr>
              <w:t>Term</w:t>
            </w:r>
          </w:p>
        </w:tc>
        <w:tc>
          <w:tcPr>
            <w:tcW w:w="65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1EF48736" w14:textId="77777777" w:rsidR="00AF5E24" w:rsidRDefault="00000000">
            <w:pPr>
              <w:spacing w:line="264" w:lineRule="auto"/>
            </w:pPr>
            <w:r>
              <w:rPr>
                <w:b/>
                <w:bCs/>
                <w:color w:val="FFFFFF"/>
                <w:sz w:val="21"/>
                <w:szCs w:val="21"/>
              </w:rPr>
              <w:t>Meaning</w:t>
            </w:r>
          </w:p>
        </w:tc>
      </w:tr>
      <w:tr w:rsidR="00AF5E24" w14:paraId="7D246E32"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1A2EFCF1" w14:textId="77777777" w:rsidR="00AF5E24" w:rsidRDefault="00000000">
            <w:pPr>
              <w:spacing w:line="264" w:lineRule="auto"/>
            </w:pPr>
            <w:r>
              <w:rPr>
                <w:b/>
                <w:bCs/>
                <w:color w:val="014344"/>
                <w:sz w:val="21"/>
                <w:szCs w:val="21"/>
              </w:rPr>
              <w:t>Access and equity</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17AA58FC" w14:textId="77777777" w:rsidR="00AF5E24" w:rsidRDefault="00000000">
            <w:pPr>
              <w:spacing w:line="264" w:lineRule="auto"/>
            </w:pPr>
            <w:r>
              <w:rPr>
                <w:sz w:val="21"/>
                <w:szCs w:val="21"/>
              </w:rPr>
              <w:t>Policies and approaches that ensure vocational education and training is responsive to the individual needs of students whose circumstances may otherwise present a barrier to access, participation or successful completion, so that training outcomes are not affected by personal characteristics unrelated to a person’s ability to perform.</w:t>
            </w:r>
          </w:p>
        </w:tc>
      </w:tr>
      <w:tr w:rsidR="00AF5E24" w14:paraId="644D846E"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79A46C45" w14:textId="77777777" w:rsidR="00AF5E24" w:rsidRDefault="00000000">
            <w:pPr>
              <w:spacing w:line="264" w:lineRule="auto"/>
            </w:pPr>
            <w:r>
              <w:rPr>
                <w:b/>
                <w:bCs/>
                <w:color w:val="014344"/>
                <w:sz w:val="21"/>
                <w:szCs w:val="21"/>
              </w:rPr>
              <w:t>Equity groups</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3DA99DD" w14:textId="77777777" w:rsidR="00AF5E24" w:rsidRDefault="00000000">
            <w:pPr>
              <w:spacing w:line="264" w:lineRule="auto"/>
            </w:pPr>
            <w:r>
              <w:rPr>
                <w:sz w:val="21"/>
                <w:szCs w:val="21"/>
              </w:rPr>
              <w:t>Groups who may face barriers to participation in VET, including (but not limited to) Aboriginal and Torres Strait Islander peoples; people with disability; people from culturally and linguistically diverse (CALD) backgrounds; people in regional, rural and remote areas; people with low LLN; people experiencing financial hardship; learners in non-traditional fields for their gender; mature-age learners; and people who are otherwise socially or economically disadvantaged.</w:t>
            </w:r>
          </w:p>
        </w:tc>
      </w:tr>
      <w:tr w:rsidR="00AF5E24" w14:paraId="34BDA5B5"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0CDE654D" w14:textId="77777777" w:rsidR="00AF5E24" w:rsidRDefault="00000000">
            <w:pPr>
              <w:spacing w:line="264" w:lineRule="auto"/>
            </w:pPr>
            <w:r>
              <w:rPr>
                <w:b/>
                <w:bCs/>
                <w:color w:val="014344"/>
                <w:sz w:val="21"/>
                <w:szCs w:val="21"/>
              </w:rPr>
              <w:t>Direct discrimination</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4AE0FFAE" w14:textId="77777777" w:rsidR="00AF5E24" w:rsidRDefault="00000000">
            <w:pPr>
              <w:spacing w:line="264" w:lineRule="auto"/>
            </w:pPr>
            <w:r>
              <w:rPr>
                <w:sz w:val="21"/>
                <w:szCs w:val="21"/>
              </w:rPr>
              <w:t>Treating a person less favourably than another person in comparable circumstances because of a protected attribute.</w:t>
            </w:r>
          </w:p>
        </w:tc>
      </w:tr>
      <w:tr w:rsidR="00AF5E24" w14:paraId="0648BE75"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6A8ACF04" w14:textId="77777777" w:rsidR="00AF5E24" w:rsidRDefault="00000000">
            <w:pPr>
              <w:spacing w:line="264" w:lineRule="auto"/>
            </w:pPr>
            <w:r>
              <w:rPr>
                <w:b/>
                <w:bCs/>
                <w:color w:val="014344"/>
                <w:sz w:val="21"/>
                <w:szCs w:val="21"/>
              </w:rPr>
              <w:t>Indirect discrimination</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6A34CA7B" w14:textId="77777777" w:rsidR="00AF5E24" w:rsidRDefault="00000000">
            <w:pPr>
              <w:spacing w:line="264" w:lineRule="auto"/>
            </w:pPr>
            <w:r>
              <w:rPr>
                <w:sz w:val="21"/>
                <w:szCs w:val="21"/>
              </w:rPr>
              <w:t>Imposing a requirement or condition that appears neutral but disadvantages people with a protected attribute and is not reasonable in the circumstances.</w:t>
            </w:r>
          </w:p>
        </w:tc>
      </w:tr>
      <w:tr w:rsidR="00AF5E24" w14:paraId="7C8E9626"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2FBF45F4" w14:textId="77777777" w:rsidR="00AF5E24" w:rsidRDefault="00000000">
            <w:pPr>
              <w:spacing w:line="264" w:lineRule="auto"/>
            </w:pPr>
            <w:r>
              <w:rPr>
                <w:b/>
                <w:bCs/>
                <w:color w:val="014344"/>
                <w:sz w:val="21"/>
                <w:szCs w:val="21"/>
              </w:rPr>
              <w:t>Protected attribute</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7EB6500" w14:textId="77777777" w:rsidR="00AF5E24" w:rsidRDefault="00000000">
            <w:pPr>
              <w:spacing w:line="264" w:lineRule="auto"/>
            </w:pPr>
            <w:r>
              <w:rPr>
                <w:sz w:val="21"/>
                <w:szCs w:val="21"/>
              </w:rPr>
              <w:t>A personal characteristic protected under anti-discrimination law, including race, colour, national or ethnic origin, sex, sexual orientation, gender identity, intersex status, marital or relationship status, pregnancy, disability, age, religion, or carer and family responsibilities.</w:t>
            </w:r>
          </w:p>
        </w:tc>
      </w:tr>
      <w:tr w:rsidR="00AF5E24" w14:paraId="16A9184A"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05233841" w14:textId="77777777" w:rsidR="00AF5E24" w:rsidRDefault="00000000">
            <w:pPr>
              <w:spacing w:line="264" w:lineRule="auto"/>
            </w:pPr>
            <w:r>
              <w:rPr>
                <w:b/>
                <w:bCs/>
                <w:color w:val="014344"/>
                <w:sz w:val="21"/>
                <w:szCs w:val="21"/>
              </w:rPr>
              <w:lastRenderedPageBreak/>
              <w:t>Harassment</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331C040" w14:textId="77777777" w:rsidR="00AF5E24" w:rsidRDefault="00000000">
            <w:pPr>
              <w:spacing w:line="264" w:lineRule="auto"/>
            </w:pPr>
            <w:r>
              <w:rPr>
                <w:sz w:val="21"/>
                <w:szCs w:val="21"/>
              </w:rPr>
              <w:t>Unwelcome conduct, related to a protected attribute, that a reasonable person would find offensive, humiliating or intimidating.</w:t>
            </w:r>
          </w:p>
        </w:tc>
      </w:tr>
      <w:tr w:rsidR="00AF5E24" w14:paraId="3C1E7616"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70159BD5" w14:textId="77777777" w:rsidR="00AF5E24" w:rsidRDefault="00000000">
            <w:pPr>
              <w:spacing w:line="264" w:lineRule="auto"/>
            </w:pPr>
            <w:r>
              <w:rPr>
                <w:b/>
                <w:bCs/>
                <w:color w:val="014344"/>
                <w:sz w:val="21"/>
                <w:szCs w:val="21"/>
              </w:rPr>
              <w:t>Reasonable adjustment</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08082920" w14:textId="77777777" w:rsidR="00AF5E24" w:rsidRDefault="00000000">
            <w:pPr>
              <w:spacing w:line="264" w:lineRule="auto"/>
            </w:pPr>
            <w:r>
              <w:rPr>
                <w:sz w:val="21"/>
                <w:szCs w:val="21"/>
              </w:rPr>
              <w:t>A measure or action taken to enable a student to access and participate in training and assessment on the same basis as others, without compromising the inherent requirements of the training product or the integrity of the competency outcome.</w:t>
            </w:r>
          </w:p>
        </w:tc>
      </w:tr>
      <w:tr w:rsidR="00AF5E24" w14:paraId="11F2B0DA"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77A4EC13" w14:textId="77777777" w:rsidR="00AF5E24" w:rsidRDefault="00000000">
            <w:pPr>
              <w:spacing w:line="264" w:lineRule="auto"/>
            </w:pPr>
            <w:r>
              <w:rPr>
                <w:b/>
                <w:bCs/>
                <w:color w:val="014344"/>
                <w:sz w:val="21"/>
                <w:szCs w:val="21"/>
              </w:rPr>
              <w:t>Inherent requirements</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0D019D0D" w14:textId="77777777" w:rsidR="00AF5E24" w:rsidRDefault="00000000">
            <w:pPr>
              <w:spacing w:line="264" w:lineRule="auto"/>
            </w:pPr>
            <w:r>
              <w:rPr>
                <w:sz w:val="21"/>
                <w:szCs w:val="21"/>
              </w:rPr>
              <w:t>The essential components of a course or unit that must be met to demonstrate competency and that cannot be modified through reasonable adjustment.</w:t>
            </w:r>
          </w:p>
        </w:tc>
      </w:tr>
      <w:tr w:rsidR="00AF5E24" w14:paraId="5C62640E"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2677465B" w14:textId="77777777" w:rsidR="00AF5E24" w:rsidRDefault="00000000">
            <w:pPr>
              <w:spacing w:line="264" w:lineRule="auto"/>
            </w:pPr>
            <w:r>
              <w:rPr>
                <w:b/>
                <w:bCs/>
                <w:color w:val="014344"/>
                <w:sz w:val="21"/>
                <w:szCs w:val="21"/>
              </w:rPr>
              <w:t>LLN</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48D2DC83" w14:textId="77777777" w:rsidR="00AF5E24" w:rsidRDefault="00000000">
            <w:pPr>
              <w:spacing w:line="264" w:lineRule="auto"/>
            </w:pPr>
            <w:r>
              <w:rPr>
                <w:sz w:val="21"/>
                <w:szCs w:val="21"/>
              </w:rPr>
              <w:t>Language, literacy and numeracy skills.</w:t>
            </w:r>
          </w:p>
        </w:tc>
      </w:tr>
    </w:tbl>
    <w:p w14:paraId="45A55E74" w14:textId="77777777" w:rsidR="00AF5E24" w:rsidRDefault="00000000">
      <w:pPr>
        <w:pStyle w:val="Heading1"/>
      </w:pPr>
      <w:bookmarkStart w:id="4" w:name="_Toc232163872"/>
      <w:r>
        <w:t>5. Policy statement and responsibilities</w:t>
      </w:r>
      <w:bookmarkEnd w:id="4"/>
    </w:p>
    <w:p w14:paraId="74255B29" w14:textId="77777777" w:rsidR="00AF5E24" w:rsidRDefault="00000000">
      <w:pPr>
        <w:spacing w:after="120" w:line="276" w:lineRule="auto"/>
      </w:pPr>
      <w:r>
        <w:t>Britts Imperial College Australia is committed to fair and equal access to training, regardless of background. The College does not tolerate discrimination, harassment, bullying, vilification or victimisation in any form. Access to training and the level of support available to a student are determined by the student’s individual needs and by the genuine requirements of the training product — not by any irrelevant personal characteristic. The CEO holds overall accountability for compliance with this policy. Day-to-day responsibilities are allocated as follows.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26"/>
      </w:tblGrid>
      <w:tr w:rsidR="00AF5E24" w14:paraId="29379AEC" w14:textId="77777777">
        <w:trPr>
          <w:tblHeader/>
        </w:trPr>
        <w:tc>
          <w:tcPr>
            <w:tcW w:w="27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5827179F" w14:textId="77777777" w:rsidR="00AF5E24" w:rsidRDefault="00000000">
            <w:pPr>
              <w:spacing w:line="264" w:lineRule="auto"/>
            </w:pPr>
            <w:r>
              <w:rPr>
                <w:b/>
                <w:bCs/>
                <w:color w:val="FFFFFF"/>
                <w:sz w:val="21"/>
                <w:szCs w:val="21"/>
              </w:rPr>
              <w:t>Role</w:t>
            </w:r>
          </w:p>
        </w:tc>
        <w:tc>
          <w:tcPr>
            <w:tcW w:w="63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6EC225F8" w14:textId="77777777" w:rsidR="00AF5E24" w:rsidRDefault="00000000">
            <w:pPr>
              <w:spacing w:line="264" w:lineRule="auto"/>
            </w:pPr>
            <w:r>
              <w:rPr>
                <w:b/>
                <w:bCs/>
                <w:color w:val="FFFFFF"/>
                <w:sz w:val="21"/>
                <w:szCs w:val="21"/>
              </w:rPr>
              <w:t>Responsibility</w:t>
            </w:r>
          </w:p>
        </w:tc>
      </w:tr>
      <w:tr w:rsidR="00AF5E24" w14:paraId="7149E6D9"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53F2514" w14:textId="77777777" w:rsidR="00AF5E24" w:rsidRDefault="00000000">
            <w:pPr>
              <w:spacing w:line="264" w:lineRule="auto"/>
            </w:pPr>
            <w:r>
              <w:rPr>
                <w:b/>
                <w:bCs/>
                <w:color w:val="014344"/>
                <w:sz w:val="21"/>
                <w:szCs w:val="21"/>
              </w:rPr>
              <w:t>Chief Executive Officer</w:t>
            </w:r>
          </w:p>
        </w:tc>
        <w:tc>
          <w:tcPr>
            <w:tcW w:w="63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727E45D5" w14:textId="77777777" w:rsidR="00AF5E24" w:rsidRDefault="00000000">
            <w:pPr>
              <w:spacing w:line="264" w:lineRule="auto"/>
            </w:pPr>
            <w:r>
              <w:rPr>
                <w:sz w:val="21"/>
                <w:szCs w:val="21"/>
              </w:rPr>
              <w:t>Holds overall accountability for an inclusive, non-discriminatory training environment and for the resources, oversight and self-assurance arrangements that support access and equity.</w:t>
            </w:r>
          </w:p>
        </w:tc>
      </w:tr>
      <w:tr w:rsidR="00AF5E24" w14:paraId="36990178"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B2A1761" w14:textId="77777777" w:rsidR="00AF5E24" w:rsidRDefault="00000000">
            <w:pPr>
              <w:spacing w:line="264" w:lineRule="auto"/>
            </w:pPr>
            <w:r>
              <w:rPr>
                <w:b/>
                <w:bCs/>
                <w:color w:val="014344"/>
                <w:sz w:val="21"/>
                <w:szCs w:val="21"/>
              </w:rPr>
              <w:t>Compliance Manager</w:t>
            </w:r>
          </w:p>
        </w:tc>
        <w:tc>
          <w:tcPr>
            <w:tcW w:w="63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8CFCA84" w14:textId="77777777" w:rsidR="00AF5E24" w:rsidRDefault="00000000">
            <w:pPr>
              <w:spacing w:line="264" w:lineRule="auto"/>
            </w:pPr>
            <w:r>
              <w:rPr>
                <w:sz w:val="21"/>
                <w:szCs w:val="21"/>
              </w:rPr>
              <w:t>Maintains this policy, monitors compliance with the 2025 Standards and anti-discrimination law, oversees reasonable adjustment and support processes, and reports access and equity risks and improvements to the CEO.</w:t>
            </w:r>
          </w:p>
        </w:tc>
      </w:tr>
      <w:tr w:rsidR="00AF5E24" w14:paraId="30343048"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26DA386E" w14:textId="77777777" w:rsidR="00AF5E24" w:rsidRDefault="00000000">
            <w:pPr>
              <w:spacing w:line="264" w:lineRule="auto"/>
            </w:pPr>
            <w:r>
              <w:rPr>
                <w:b/>
                <w:bCs/>
                <w:color w:val="014344"/>
                <w:sz w:val="21"/>
                <w:szCs w:val="21"/>
              </w:rPr>
              <w:t>Trainers and assessors</w:t>
            </w:r>
          </w:p>
        </w:tc>
        <w:tc>
          <w:tcPr>
            <w:tcW w:w="63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1CB393A7" w14:textId="77777777" w:rsidR="00AF5E24" w:rsidRDefault="00000000">
            <w:pPr>
              <w:spacing w:line="264" w:lineRule="auto"/>
            </w:pPr>
            <w:r>
              <w:rPr>
                <w:sz w:val="21"/>
                <w:szCs w:val="21"/>
              </w:rPr>
              <w:t>Deliver training and assessment inclusively, identify and respond to individual learner needs, apply reasonable adjustments appropriately, and model respectful behaviour.</w:t>
            </w:r>
          </w:p>
        </w:tc>
      </w:tr>
      <w:tr w:rsidR="00AF5E24" w14:paraId="28CD1249"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D2CFFFD" w14:textId="77777777" w:rsidR="00AF5E24" w:rsidRDefault="00000000">
            <w:pPr>
              <w:spacing w:line="264" w:lineRule="auto"/>
            </w:pPr>
            <w:r>
              <w:rPr>
                <w:b/>
                <w:bCs/>
                <w:color w:val="014344"/>
                <w:sz w:val="21"/>
                <w:szCs w:val="21"/>
              </w:rPr>
              <w:t>Student support staff</w:t>
            </w:r>
          </w:p>
        </w:tc>
        <w:tc>
          <w:tcPr>
            <w:tcW w:w="63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226571D7" w14:textId="77777777" w:rsidR="00AF5E24" w:rsidRDefault="00000000">
            <w:pPr>
              <w:spacing w:line="264" w:lineRule="auto"/>
            </w:pPr>
            <w:r>
              <w:rPr>
                <w:sz w:val="21"/>
                <w:szCs w:val="21"/>
              </w:rPr>
              <w:t>Provide information, advice, LLN and wellbeing support, and coordinate reasonable adjustments and referrals to internal and external services.</w:t>
            </w:r>
          </w:p>
        </w:tc>
      </w:tr>
      <w:tr w:rsidR="00AF5E24" w14:paraId="0E70F410"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E433171" w14:textId="77777777" w:rsidR="00AF5E24" w:rsidRDefault="00000000">
            <w:pPr>
              <w:spacing w:line="264" w:lineRule="auto"/>
            </w:pPr>
            <w:r>
              <w:rPr>
                <w:b/>
                <w:bCs/>
                <w:color w:val="014344"/>
                <w:sz w:val="21"/>
                <w:szCs w:val="21"/>
              </w:rPr>
              <w:t>Marketing and admissions staff</w:t>
            </w:r>
          </w:p>
        </w:tc>
        <w:tc>
          <w:tcPr>
            <w:tcW w:w="63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2CC9B5C" w14:textId="77777777" w:rsidR="00AF5E24" w:rsidRDefault="00000000">
            <w:pPr>
              <w:spacing w:line="264" w:lineRule="auto"/>
            </w:pPr>
            <w:r>
              <w:rPr>
                <w:sz w:val="21"/>
                <w:szCs w:val="21"/>
              </w:rPr>
              <w:t>Ensure marketing and enrolment information is accurate, accessible and free of discriminatory content, and that selection is based only on the genuine requirements of the training product.</w:t>
            </w:r>
          </w:p>
        </w:tc>
      </w:tr>
      <w:tr w:rsidR="00AF5E24" w14:paraId="7C06D3C6"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1E4FC2E9" w14:textId="77777777" w:rsidR="00AF5E24" w:rsidRDefault="00000000">
            <w:pPr>
              <w:spacing w:line="264" w:lineRule="auto"/>
            </w:pPr>
            <w:r>
              <w:rPr>
                <w:b/>
                <w:bCs/>
                <w:color w:val="014344"/>
                <w:sz w:val="21"/>
                <w:szCs w:val="21"/>
              </w:rPr>
              <w:t>All staff and students</w:t>
            </w:r>
          </w:p>
        </w:tc>
        <w:tc>
          <w:tcPr>
            <w:tcW w:w="63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74F527DA" w14:textId="77777777" w:rsidR="00AF5E24" w:rsidRDefault="00000000">
            <w:pPr>
              <w:spacing w:line="264" w:lineRule="auto"/>
            </w:pPr>
            <w:r>
              <w:rPr>
                <w:sz w:val="21"/>
                <w:szCs w:val="21"/>
              </w:rPr>
              <w:t>Treat others with respect and dignity and comply with this policy.</w:t>
            </w:r>
          </w:p>
        </w:tc>
      </w:tr>
    </w:tbl>
    <w:p w14:paraId="2CF73D41" w14:textId="77777777" w:rsidR="00AF5E24" w:rsidRDefault="00000000">
      <w:pPr>
        <w:pStyle w:val="Heading1"/>
      </w:pPr>
      <w:bookmarkStart w:id="5" w:name="_Toc232163873"/>
      <w:r>
        <w:lastRenderedPageBreak/>
        <w:t>6. Principles of access and equity</w:t>
      </w:r>
      <w:bookmarkEnd w:id="5"/>
    </w:p>
    <w:p w14:paraId="23F5B6DD" w14:textId="77777777" w:rsidR="00AF5E24" w:rsidRDefault="00000000">
      <w:pPr>
        <w:spacing w:after="120" w:line="276" w:lineRule="auto"/>
      </w:pPr>
      <w:r>
        <w:t>Britts Imperial College Australia applies the following principles across all of its operations.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AF5E24" w14:paraId="71C883E9" w14:textId="77777777">
        <w:trPr>
          <w:tblHeader/>
        </w:trPr>
        <w:tc>
          <w:tcPr>
            <w:tcW w:w="2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2475045E" w14:textId="77777777" w:rsidR="00AF5E24" w:rsidRDefault="00000000">
            <w:pPr>
              <w:spacing w:line="264" w:lineRule="auto"/>
            </w:pPr>
            <w:r>
              <w:rPr>
                <w:b/>
                <w:bCs/>
                <w:color w:val="FFFFFF"/>
                <w:sz w:val="21"/>
                <w:szCs w:val="21"/>
              </w:rPr>
              <w:t>Principle</w:t>
            </w:r>
          </w:p>
        </w:tc>
        <w:tc>
          <w:tcPr>
            <w:tcW w:w="65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383559F3" w14:textId="77777777" w:rsidR="00AF5E24" w:rsidRDefault="00000000">
            <w:pPr>
              <w:spacing w:line="264" w:lineRule="auto"/>
            </w:pPr>
            <w:r>
              <w:rPr>
                <w:b/>
                <w:bCs/>
                <w:color w:val="FFFFFF"/>
                <w:sz w:val="21"/>
                <w:szCs w:val="21"/>
              </w:rPr>
              <w:t>What the College ensures</w:t>
            </w:r>
          </w:p>
        </w:tc>
      </w:tr>
      <w:tr w:rsidR="00AF5E24" w14:paraId="3D17DFAD"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4796A2C" w14:textId="77777777" w:rsidR="00AF5E24" w:rsidRDefault="00000000">
            <w:pPr>
              <w:spacing w:line="264" w:lineRule="auto"/>
            </w:pPr>
            <w:r>
              <w:rPr>
                <w:b/>
                <w:bCs/>
                <w:color w:val="014344"/>
                <w:sz w:val="21"/>
                <w:szCs w:val="21"/>
              </w:rPr>
              <w:t>Fairness</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0EADC72" w14:textId="77777777" w:rsidR="00AF5E24" w:rsidRDefault="00000000">
            <w:pPr>
              <w:spacing w:line="264" w:lineRule="auto"/>
            </w:pPr>
            <w:r>
              <w:rPr>
                <w:sz w:val="21"/>
                <w:szCs w:val="21"/>
              </w:rPr>
              <w:t>Decisions about access, participation and support are made objectively, on merit, and on the basis of genuine requirements.</w:t>
            </w:r>
          </w:p>
        </w:tc>
      </w:tr>
      <w:tr w:rsidR="00AF5E24" w14:paraId="3018C7D6"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7ECB6A7" w14:textId="77777777" w:rsidR="00AF5E24" w:rsidRDefault="00000000">
            <w:pPr>
              <w:spacing w:line="264" w:lineRule="auto"/>
            </w:pPr>
            <w:r>
              <w:rPr>
                <w:b/>
                <w:bCs/>
                <w:color w:val="014344"/>
                <w:sz w:val="21"/>
                <w:szCs w:val="21"/>
              </w:rPr>
              <w:t>Inclusion</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2F281776" w14:textId="77777777" w:rsidR="00AF5E24" w:rsidRDefault="00000000">
            <w:pPr>
              <w:spacing w:line="264" w:lineRule="auto"/>
            </w:pPr>
            <w:r>
              <w:rPr>
                <w:sz w:val="21"/>
                <w:szCs w:val="21"/>
              </w:rPr>
              <w:t>The learning environment is welcoming, respectful and responsive to the diversity of its students.</w:t>
            </w:r>
          </w:p>
        </w:tc>
      </w:tr>
      <w:tr w:rsidR="00AF5E24" w14:paraId="17D98AB5"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41B71889" w14:textId="77777777" w:rsidR="00AF5E24" w:rsidRDefault="00000000">
            <w:pPr>
              <w:spacing w:line="264" w:lineRule="auto"/>
            </w:pPr>
            <w:r>
              <w:rPr>
                <w:b/>
                <w:bCs/>
                <w:color w:val="014344"/>
                <w:sz w:val="21"/>
                <w:szCs w:val="21"/>
              </w:rPr>
              <w:t>Equitable support</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283517AA" w14:textId="77777777" w:rsidR="00AF5E24" w:rsidRDefault="00000000">
            <w:pPr>
              <w:spacing w:line="264" w:lineRule="auto"/>
            </w:pPr>
            <w:r>
              <w:rPr>
                <w:sz w:val="21"/>
                <w:szCs w:val="21"/>
              </w:rPr>
              <w:t>Students receive the information, support and reasonable adjustments they need to participate on the same basis as others.</w:t>
            </w:r>
          </w:p>
        </w:tc>
      </w:tr>
      <w:tr w:rsidR="00AF5E24" w14:paraId="46261B77"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0FAB1334" w14:textId="77777777" w:rsidR="00AF5E24" w:rsidRDefault="00000000">
            <w:pPr>
              <w:spacing w:line="264" w:lineRule="auto"/>
            </w:pPr>
            <w:r>
              <w:rPr>
                <w:b/>
                <w:bCs/>
                <w:color w:val="014344"/>
                <w:sz w:val="21"/>
                <w:szCs w:val="21"/>
              </w:rPr>
              <w:t>Non-discrimination</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10C7660" w14:textId="77777777" w:rsidR="00AF5E24" w:rsidRDefault="00000000">
            <w:pPr>
              <w:spacing w:line="264" w:lineRule="auto"/>
            </w:pPr>
            <w:r>
              <w:rPr>
                <w:sz w:val="21"/>
                <w:szCs w:val="21"/>
              </w:rPr>
              <w:t>No person is treated less favourably, directly or indirectly, because of a protected attribute.</w:t>
            </w:r>
          </w:p>
        </w:tc>
      </w:tr>
      <w:tr w:rsidR="00AF5E24" w14:paraId="339ADB34"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3EF86EDC" w14:textId="77777777" w:rsidR="00AF5E24" w:rsidRDefault="00000000">
            <w:pPr>
              <w:spacing w:line="264" w:lineRule="auto"/>
            </w:pPr>
            <w:r>
              <w:rPr>
                <w:b/>
                <w:bCs/>
                <w:color w:val="014344"/>
                <w:sz w:val="21"/>
                <w:szCs w:val="21"/>
              </w:rPr>
              <w:t>Transparency</w:t>
            </w:r>
          </w:p>
        </w:tc>
        <w:tc>
          <w:tcPr>
            <w:tcW w:w="65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BC1C476" w14:textId="77777777" w:rsidR="00AF5E24" w:rsidRDefault="00000000">
            <w:pPr>
              <w:spacing w:line="264" w:lineRule="auto"/>
            </w:pPr>
            <w:r>
              <w:rPr>
                <w:sz w:val="21"/>
                <w:szCs w:val="21"/>
              </w:rPr>
              <w:t>The basis for entry requirements, selection and the support available is communicated clearly to prospective and current students.</w:t>
            </w:r>
          </w:p>
        </w:tc>
      </w:tr>
    </w:tbl>
    <w:p w14:paraId="56D828CA" w14:textId="77777777" w:rsidR="00AF5E24" w:rsidRDefault="00000000">
      <w:pPr>
        <w:pStyle w:val="Heading1"/>
      </w:pPr>
      <w:bookmarkStart w:id="6" w:name="_Toc232163874"/>
      <w:r>
        <w:t>7. Equal access to training</w:t>
      </w:r>
      <w:bookmarkEnd w:id="6"/>
    </w:p>
    <w:p w14:paraId="3DA1B17D" w14:textId="77777777" w:rsidR="00AF5E24" w:rsidRDefault="00000000">
      <w:pPr>
        <w:spacing w:after="120" w:line="276" w:lineRule="auto"/>
      </w:pPr>
      <w:r>
        <w:t>Britts Imperial College Australia ensures that prospective students can access its training on a fair and equal basis:</w:t>
      </w:r>
    </w:p>
    <w:p w14:paraId="7F22D5A8" w14:textId="77777777" w:rsidR="00AF5E24" w:rsidRDefault="00000000">
      <w:pPr>
        <w:pStyle w:val="ListParagraph"/>
        <w:numPr>
          <w:ilvl w:val="0"/>
          <w:numId w:val="2"/>
        </w:numPr>
        <w:spacing w:after="80" w:line="276" w:lineRule="auto"/>
      </w:pPr>
      <w:r>
        <w:t>marketing and recruitment material presents accurate information and avoids discriminatory language or imagery, and any entry requirements are limited to the genuine requirements of the training product;</w:t>
      </w:r>
    </w:p>
    <w:p w14:paraId="766B98A5" w14:textId="77777777" w:rsidR="00AF5E24" w:rsidRDefault="00000000">
      <w:pPr>
        <w:pStyle w:val="ListParagraph"/>
        <w:numPr>
          <w:ilvl w:val="0"/>
          <w:numId w:val="2"/>
        </w:numPr>
        <w:spacing w:after="80" w:line="276" w:lineRule="auto"/>
      </w:pPr>
      <w:r>
        <w:t>selection and enrolment decisions are based on a person’s ability to meet the inherent requirements of the course, not on a protected attribute;</w:t>
      </w:r>
    </w:p>
    <w:p w14:paraId="18CBF3A5" w14:textId="77777777" w:rsidR="00AF5E24" w:rsidRDefault="00000000">
      <w:pPr>
        <w:pStyle w:val="ListParagraph"/>
        <w:numPr>
          <w:ilvl w:val="0"/>
          <w:numId w:val="2"/>
        </w:numPr>
        <w:spacing w:after="80" w:line="276" w:lineRule="auto"/>
      </w:pPr>
      <w:r>
        <w:t>pre-enrolment information clearly explains entry requirements, the inherent requirements of the course, the support and reasonable adjustments available, LLN assessment, and fees, so that prospective students can make an informed decision; and</w:t>
      </w:r>
    </w:p>
    <w:p w14:paraId="634EC49A" w14:textId="77777777" w:rsidR="00AF5E24" w:rsidRDefault="00000000">
      <w:pPr>
        <w:pStyle w:val="ListParagraph"/>
        <w:numPr>
          <w:ilvl w:val="0"/>
          <w:numId w:val="2"/>
        </w:numPr>
        <w:spacing w:after="80" w:line="276" w:lineRule="auto"/>
      </w:pPr>
      <w:r>
        <w:t>facilities, learning resources and online platforms are made as accessible as is reasonably practicable.</w:t>
      </w:r>
    </w:p>
    <w:p w14:paraId="5FD9229B" w14:textId="77777777" w:rsidR="00AF5E24" w:rsidRDefault="00000000">
      <w:pPr>
        <w:pStyle w:val="Heading1"/>
      </w:pPr>
      <w:bookmarkStart w:id="7" w:name="_Toc232163875"/>
      <w:r>
        <w:t>8. Reasonable adjustment and learner support</w:t>
      </w:r>
      <w:bookmarkEnd w:id="7"/>
    </w:p>
    <w:p w14:paraId="28118C45" w14:textId="77777777" w:rsidR="00AF5E24" w:rsidRDefault="00000000">
      <w:pPr>
        <w:spacing w:after="120" w:line="276" w:lineRule="auto"/>
      </w:pPr>
      <w:r>
        <w:t>The College identifies individual support needs at enrolment — including through LLN assessment — and continues to monitor and respond to needs throughout a student’s course.</w:t>
      </w:r>
    </w:p>
    <w:p w14:paraId="443F057D" w14:textId="77777777" w:rsidR="00AF5E24" w:rsidRDefault="00000000">
      <w:pPr>
        <w:spacing w:after="120" w:line="276" w:lineRule="auto"/>
      </w:pPr>
      <w:r>
        <w:t xml:space="preserve">Reasonable adjustments are made in consultation with the student to enable access and participation, provided they do not compromise the inherent requirements of the training </w:t>
      </w:r>
      <w:r>
        <w:lastRenderedPageBreak/>
        <w:t>product or the integrity of the competency outcome being assessed. Adjustments may include, for example:</w:t>
      </w:r>
    </w:p>
    <w:p w14:paraId="40C25EC2" w14:textId="77777777" w:rsidR="00AF5E24" w:rsidRDefault="00000000">
      <w:pPr>
        <w:pStyle w:val="ListParagraph"/>
        <w:numPr>
          <w:ilvl w:val="0"/>
          <w:numId w:val="2"/>
        </w:numPr>
        <w:spacing w:after="80" w:line="276" w:lineRule="auto"/>
      </w:pPr>
      <w:r>
        <w:t>materials in alternative formats and the use of assistive technology;</w:t>
      </w:r>
    </w:p>
    <w:p w14:paraId="7BBA03DA" w14:textId="77777777" w:rsidR="00AF5E24" w:rsidRDefault="00000000">
      <w:pPr>
        <w:pStyle w:val="ListParagraph"/>
        <w:numPr>
          <w:ilvl w:val="0"/>
          <w:numId w:val="2"/>
        </w:numPr>
        <w:spacing w:after="80" w:line="276" w:lineRule="auto"/>
      </w:pPr>
      <w:r>
        <w:t>additional time, flexible scheduling or modified delivery arrangements;</w:t>
      </w:r>
    </w:p>
    <w:p w14:paraId="2A32B80F" w14:textId="77777777" w:rsidR="00AF5E24" w:rsidRDefault="00000000">
      <w:pPr>
        <w:pStyle w:val="ListParagraph"/>
        <w:numPr>
          <w:ilvl w:val="0"/>
          <w:numId w:val="2"/>
        </w:numPr>
        <w:spacing w:after="80" w:line="276" w:lineRule="auto"/>
      </w:pPr>
      <w:r>
        <w:t>the use of a support person, interpreter or note-taker where appropriate; and</w:t>
      </w:r>
    </w:p>
    <w:p w14:paraId="76CBE6A5" w14:textId="77777777" w:rsidR="00AF5E24" w:rsidRDefault="00000000">
      <w:pPr>
        <w:pStyle w:val="ListParagraph"/>
        <w:numPr>
          <w:ilvl w:val="0"/>
          <w:numId w:val="2"/>
        </w:numPr>
        <w:spacing w:after="80" w:line="276" w:lineRule="auto"/>
      </w:pPr>
      <w:r>
        <w:t>adjustments to the way assessment evidence is gathered, consistent with the Assessment Policy and Procedure.</w:t>
      </w:r>
    </w:p>
    <w:p w14:paraId="075C47EC" w14:textId="77777777" w:rsidR="00AF5E24" w:rsidRDefault="00000000">
      <w:pPr>
        <w:spacing w:after="120" w:line="276" w:lineRule="auto"/>
      </w:pPr>
      <w:r>
        <w:t>Where a requested adjustment cannot be made because it would compromise an inherent requirement of the course, the College discusses realistic alternative options with the student. Broader support services — including LLN and study-skills support, language support, and wellbeing or counselling referrals — are described in the Student Support Policy.</w:t>
      </w:r>
    </w:p>
    <w:p w14:paraId="7A3FE57F" w14:textId="77777777" w:rsidR="00AF5E24" w:rsidRDefault="00000000">
      <w:pPr>
        <w:pStyle w:val="Heading1"/>
      </w:pPr>
      <w:bookmarkStart w:id="8" w:name="_Toc232163876"/>
      <w:r>
        <w:t>9. Supporting diverse learner groups</w:t>
      </w:r>
      <w:bookmarkEnd w:id="8"/>
    </w:p>
    <w:p w14:paraId="00544542" w14:textId="77777777" w:rsidR="00AF5E24" w:rsidRDefault="00000000">
      <w:pPr>
        <w:spacing w:after="120" w:line="276" w:lineRule="auto"/>
      </w:pPr>
      <w:r>
        <w:t>Britts Imperial College Australia takes proactive steps to support learners who may face barriers to participation, including Aboriginal and Torres Strait Islander students, students with disability, students from culturally and linguistically diverse backgrounds, mature-age learners, and students experiencing hardship. These steps include inclusive course and resource design, culturally aware delivery, flexible study options, and referral to relevant internal and external support services.</w:t>
      </w:r>
    </w:p>
    <w:p w14:paraId="3BF19BDD" w14:textId="77777777" w:rsidR="00AF5E24" w:rsidRDefault="00000000">
      <w:pPr>
        <w:pStyle w:val="Heading1"/>
      </w:pPr>
      <w:bookmarkStart w:id="9" w:name="_Toc232163877"/>
      <w:r>
        <w:t>10. Preventing discrimination, harassment and bullying</w:t>
      </w:r>
      <w:bookmarkEnd w:id="9"/>
    </w:p>
    <w:p w14:paraId="3EF5518B" w14:textId="77777777" w:rsidR="00AF5E24" w:rsidRDefault="00000000">
      <w:pPr>
        <w:pStyle w:val="ListParagraph"/>
        <w:numPr>
          <w:ilvl w:val="0"/>
          <w:numId w:val="2"/>
        </w:numPr>
        <w:spacing w:after="80" w:line="276" w:lineRule="auto"/>
      </w:pPr>
      <w:r>
        <w:t>All forms of discrimination, harassment, bullying, vilification and victimisation are prohibited within the College and at College-related activities.</w:t>
      </w:r>
    </w:p>
    <w:p w14:paraId="644604B4" w14:textId="77777777" w:rsidR="00AF5E24" w:rsidRDefault="00000000">
      <w:pPr>
        <w:pStyle w:val="ListParagraph"/>
        <w:numPr>
          <w:ilvl w:val="0"/>
          <w:numId w:val="2"/>
        </w:numPr>
        <w:spacing w:after="80" w:line="276" w:lineRule="auto"/>
      </w:pPr>
      <w:r>
        <w:t>Students or staff who experience or witness such behaviour are encouraged to report it. Reports are handled promptly, fairly and confidentially under the Complaints and Appeals Policy.</w:t>
      </w:r>
    </w:p>
    <w:p w14:paraId="6D2F6AF8" w14:textId="77777777" w:rsidR="00AF5E24" w:rsidRDefault="00000000">
      <w:pPr>
        <w:pStyle w:val="ListParagraph"/>
        <w:numPr>
          <w:ilvl w:val="0"/>
          <w:numId w:val="2"/>
        </w:numPr>
        <w:spacing w:after="80" w:line="276" w:lineRule="auto"/>
      </w:pPr>
      <w:r>
        <w:t>Victimising a person because they have made, or supported, a complaint in good faith is itself a breach of this policy.</w:t>
      </w:r>
    </w:p>
    <w:p w14:paraId="4F27966B" w14:textId="77777777" w:rsidR="00AF5E24" w:rsidRDefault="00000000">
      <w:pPr>
        <w:pStyle w:val="ListParagraph"/>
        <w:numPr>
          <w:ilvl w:val="0"/>
          <w:numId w:val="2"/>
        </w:numPr>
        <w:spacing w:after="80" w:line="276" w:lineRule="auto"/>
      </w:pPr>
      <w:r>
        <w:t>Breaches by staff are managed under the College’s disciplinary procedures; breaches by students are managed under the student code of conduct.</w:t>
      </w:r>
    </w:p>
    <w:p w14:paraId="3CC2571F" w14:textId="77777777" w:rsidR="00AF5E24" w:rsidRDefault="00000000">
      <w:pPr>
        <w:pStyle w:val="Heading1"/>
      </w:pPr>
      <w:bookmarkStart w:id="10" w:name="_Toc232163878"/>
      <w:r>
        <w:t>11. Fees and financial access</w:t>
      </w:r>
      <w:bookmarkEnd w:id="10"/>
    </w:p>
    <w:p w14:paraId="06950859" w14:textId="77777777" w:rsidR="00AF5E24" w:rsidRDefault="00000000">
      <w:pPr>
        <w:spacing w:after="120" w:line="276" w:lineRule="auto"/>
      </w:pPr>
      <w:r>
        <w:t>The College’s fees and refund arrangements are transparent and applied consistently to all students. Information about fees, payment options and any available hardship arrangements is provided before enrolment so that cost does not create an unnecessary barrier to access. Full details are set out in the Fees, Charges and Refunds Policy.</w:t>
      </w:r>
    </w:p>
    <w:p w14:paraId="1E6DE7C5" w14:textId="77777777" w:rsidR="00AF5E24" w:rsidRDefault="00000000">
      <w:pPr>
        <w:pStyle w:val="Heading1"/>
      </w:pPr>
      <w:bookmarkStart w:id="11" w:name="_Toc232163879"/>
      <w:r>
        <w:lastRenderedPageBreak/>
        <w:t>12. Complaints and appeals</w:t>
      </w:r>
      <w:bookmarkEnd w:id="11"/>
    </w:p>
    <w:p w14:paraId="79613533" w14:textId="77777777" w:rsidR="00AF5E24" w:rsidRDefault="00000000">
      <w:pPr>
        <w:spacing w:after="120" w:line="276" w:lineRule="auto"/>
      </w:pPr>
      <w:r>
        <w:t>Any person who believes they have been treated unfairly, discriminated against, harassed or bullied may raise the matter through the College’s Complaints and Appeals Policy at no cost. Complaints are handled impartially and confidentially. External avenues — such as the Australian Human Rights Commission or the relevant New South Wales body — remain available to complainants at any time.</w:t>
      </w:r>
    </w:p>
    <w:p w14:paraId="2142CE0E" w14:textId="77777777" w:rsidR="00AF5E24" w:rsidRDefault="00000000">
      <w:pPr>
        <w:pStyle w:val="Heading1"/>
      </w:pPr>
      <w:bookmarkStart w:id="12" w:name="_Toc232163880"/>
      <w:r>
        <w:t>13. Continuous improvement and self-assurance</w:t>
      </w:r>
      <w:bookmarkEnd w:id="12"/>
    </w:p>
    <w:p w14:paraId="1AE7B18D" w14:textId="77777777" w:rsidR="00AF5E24" w:rsidRDefault="00000000">
      <w:pPr>
        <w:spacing w:after="120" w:line="276" w:lineRule="auto"/>
      </w:pPr>
      <w:r>
        <w:t>Consistent with the self-assurance approach of the 2025 Standards, Britts Imperial College Australia monitors access and equity as an ongoing system rather than a one-off exercise. The College gathers feedback from students and staff; reviews participation, support and completion patterns for equity groups; reviews complaints relating to fairness and discrimination; and implements improvements. Findings are reported to the CEO and inform review of this policy and the College’s broader quality system.</w:t>
      </w:r>
    </w:p>
    <w:p w14:paraId="4593261F" w14:textId="77777777" w:rsidR="00AF5E24" w:rsidRDefault="00000000">
      <w:pPr>
        <w:pStyle w:val="Heading1"/>
      </w:pPr>
      <w:bookmarkStart w:id="13" w:name="_Toc232163881"/>
      <w:r>
        <w:t>14. Related documents and references</w:t>
      </w:r>
      <w:bookmarkEnd w:id="13"/>
    </w:p>
    <w:p w14:paraId="392A3A12" w14:textId="77777777" w:rsidR="00AF5E24" w:rsidRDefault="00000000">
      <w:pPr>
        <w:pStyle w:val="ListParagraph"/>
        <w:numPr>
          <w:ilvl w:val="0"/>
          <w:numId w:val="2"/>
        </w:numPr>
        <w:spacing w:after="80" w:line="276" w:lineRule="auto"/>
      </w:pPr>
      <w:r>
        <w:t>National Vocational Education and Training Regulator (Outcome Standards for NVR Registered Training Organisations) Instrument 2025</w:t>
      </w:r>
    </w:p>
    <w:p w14:paraId="240290F8" w14:textId="77777777" w:rsidR="00AF5E24" w:rsidRDefault="00000000">
      <w:pPr>
        <w:pStyle w:val="ListParagraph"/>
        <w:numPr>
          <w:ilvl w:val="0"/>
          <w:numId w:val="2"/>
        </w:numPr>
        <w:spacing w:after="80" w:line="276" w:lineRule="auto"/>
      </w:pPr>
      <w:r>
        <w:t>National Vocational Education and Training Regulator (Compliance Standards for NVR Registered Training Organisations and Fit and Proper Person Requirements) Instrument 2025</w:t>
      </w:r>
    </w:p>
    <w:p w14:paraId="11803810" w14:textId="77777777" w:rsidR="00AF5E24" w:rsidRDefault="00000000">
      <w:pPr>
        <w:pStyle w:val="ListParagraph"/>
        <w:numPr>
          <w:ilvl w:val="0"/>
          <w:numId w:val="2"/>
        </w:numPr>
        <w:spacing w:after="80" w:line="276" w:lineRule="auto"/>
      </w:pPr>
      <w:r>
        <w:t>Racial Discrimination Act 1975 (Cth); Sex Discrimination Act 1984 (Cth); Disability Discrimination Act 1992 (Cth); Age Discrimination Act 2004 (Cth); Australian Human Rights Commission Act 1986 (Cth)</w:t>
      </w:r>
    </w:p>
    <w:p w14:paraId="7EF3799A" w14:textId="77777777" w:rsidR="00AF5E24" w:rsidRDefault="00000000">
      <w:pPr>
        <w:pStyle w:val="ListParagraph"/>
        <w:numPr>
          <w:ilvl w:val="0"/>
          <w:numId w:val="2"/>
        </w:numPr>
        <w:spacing w:after="80" w:line="276" w:lineRule="auto"/>
      </w:pPr>
      <w:r>
        <w:t>Disability Standards for Education 2005</w:t>
      </w:r>
    </w:p>
    <w:p w14:paraId="5D8D0733" w14:textId="77777777" w:rsidR="00AF5E24" w:rsidRDefault="00000000">
      <w:pPr>
        <w:pStyle w:val="ListParagraph"/>
        <w:numPr>
          <w:ilvl w:val="0"/>
          <w:numId w:val="2"/>
        </w:numPr>
        <w:spacing w:after="80" w:line="276" w:lineRule="auto"/>
      </w:pPr>
      <w:r>
        <w:t>Anti-Discrimination Act 1977 (NSW)</w:t>
      </w:r>
    </w:p>
    <w:p w14:paraId="065A0BEB" w14:textId="77777777" w:rsidR="00AF5E24" w:rsidRDefault="00000000">
      <w:pPr>
        <w:pStyle w:val="ListParagraph"/>
        <w:numPr>
          <w:ilvl w:val="0"/>
          <w:numId w:val="2"/>
        </w:numPr>
        <w:spacing w:after="80" w:line="276" w:lineRule="auto"/>
      </w:pPr>
      <w:r>
        <w:t>Britts Imperial College Australia Student Support; Reasonable Adjustment / LLN; Assessment; Complaints and Appeals; Fees, Charges and Refunds; Privacy; and Work Health and Safety policies</w:t>
      </w:r>
    </w:p>
    <w:p w14:paraId="4787E86C" w14:textId="77777777" w:rsidR="00AF5E24" w:rsidRDefault="00000000">
      <w:pPr>
        <w:pStyle w:val="Heading1"/>
      </w:pPr>
      <w:bookmarkStart w:id="14" w:name="_Toc232163882"/>
      <w:r>
        <w:t>15. Document control</w:t>
      </w:r>
      <w:bookmarkEnd w:id="14"/>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1400"/>
        <w:gridCol w:w="5126"/>
        <w:gridCol w:w="1500"/>
      </w:tblGrid>
      <w:tr w:rsidR="00AF5E24" w14:paraId="10D1D7AE" w14:textId="77777777">
        <w:trPr>
          <w:tblHeader/>
        </w:trPr>
        <w:tc>
          <w:tcPr>
            <w:tcW w:w="10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43EC5DF6" w14:textId="77777777" w:rsidR="00AF5E24" w:rsidRDefault="00000000">
            <w:pPr>
              <w:spacing w:line="264" w:lineRule="auto"/>
            </w:pPr>
            <w:r>
              <w:rPr>
                <w:b/>
                <w:bCs/>
                <w:color w:val="FFFFFF"/>
                <w:sz w:val="21"/>
                <w:szCs w:val="21"/>
              </w:rPr>
              <w:t>Version</w:t>
            </w:r>
          </w:p>
        </w:tc>
        <w:tc>
          <w:tcPr>
            <w:tcW w:w="14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5DDD8154" w14:textId="77777777" w:rsidR="00AF5E24" w:rsidRDefault="00000000">
            <w:pPr>
              <w:spacing w:line="264" w:lineRule="auto"/>
            </w:pPr>
            <w:r>
              <w:rPr>
                <w:b/>
                <w:bCs/>
                <w:color w:val="FFFFFF"/>
                <w:sz w:val="21"/>
                <w:szCs w:val="21"/>
              </w:rPr>
              <w:t>Date</w:t>
            </w:r>
          </w:p>
        </w:tc>
        <w:tc>
          <w:tcPr>
            <w:tcW w:w="51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15B760FD" w14:textId="77777777" w:rsidR="00AF5E24" w:rsidRDefault="00000000">
            <w:pPr>
              <w:spacing w:line="264" w:lineRule="auto"/>
            </w:pPr>
            <w:r>
              <w:rPr>
                <w:b/>
                <w:bCs/>
                <w:color w:val="FFFFFF"/>
                <w:sz w:val="21"/>
                <w:szCs w:val="21"/>
              </w:rPr>
              <w:t>Summary of changes</w:t>
            </w:r>
          </w:p>
        </w:tc>
        <w:tc>
          <w:tcPr>
            <w:tcW w:w="1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08" w:type="dxa"/>
              <w:bottom w:w="80" w:type="dxa"/>
              <w:right w:w="108" w:type="dxa"/>
            </w:tcMar>
            <w:vAlign w:val="center"/>
          </w:tcPr>
          <w:p w14:paraId="37108BD9" w14:textId="77777777" w:rsidR="00AF5E24" w:rsidRDefault="00000000">
            <w:pPr>
              <w:spacing w:line="264" w:lineRule="auto"/>
            </w:pPr>
            <w:r>
              <w:rPr>
                <w:b/>
                <w:bCs/>
                <w:color w:val="FFFFFF"/>
                <w:sz w:val="21"/>
                <w:szCs w:val="21"/>
              </w:rPr>
              <w:t>Actioned by</w:t>
            </w:r>
          </w:p>
        </w:tc>
      </w:tr>
      <w:tr w:rsidR="00AF5E24" w14:paraId="456394B9" w14:textId="77777777">
        <w:tc>
          <w:tcPr>
            <w:tcW w:w="10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D4BEB80" w14:textId="77777777" w:rsidR="00AF5E24" w:rsidRDefault="00000000">
            <w:pPr>
              <w:spacing w:line="264" w:lineRule="auto"/>
            </w:pPr>
            <w:r>
              <w:rPr>
                <w:b/>
                <w:bCs/>
                <w:color w:val="014344"/>
                <w:sz w:val="21"/>
                <w:szCs w:val="21"/>
              </w:rPr>
              <w:t>1.0</w:t>
            </w:r>
          </w:p>
        </w:tc>
        <w:tc>
          <w:tcPr>
            <w:tcW w:w="14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44967DAB" w14:textId="77777777" w:rsidR="00AF5E24" w:rsidRDefault="00000000">
            <w:pPr>
              <w:spacing w:line="264" w:lineRule="auto"/>
            </w:pPr>
            <w:r>
              <w:rPr>
                <w:sz w:val="21"/>
                <w:szCs w:val="21"/>
              </w:rPr>
              <w:t>[Month YYYY]</w:t>
            </w:r>
          </w:p>
        </w:tc>
        <w:tc>
          <w:tcPr>
            <w:tcW w:w="5126"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5C5FDFBD" w14:textId="77777777" w:rsidR="00AF5E24" w:rsidRDefault="00000000">
            <w:pPr>
              <w:spacing w:line="264" w:lineRule="auto"/>
            </w:pPr>
            <w:r>
              <w:rPr>
                <w:sz w:val="21"/>
                <w:szCs w:val="21"/>
              </w:rPr>
              <w:t>Initial issue of the Access and Equity Policy, aligned to the 2025 Standards for RTOs and current Commonwealth and NSW anti-discrimination law.</w:t>
            </w:r>
          </w:p>
        </w:tc>
        <w:tc>
          <w:tcPr>
            <w:tcW w:w="1500" w:type="dxa"/>
            <w:tcBorders>
              <w:top w:val="single" w:sz="4" w:space="0" w:color="BFD3D3"/>
              <w:left w:val="single" w:sz="4" w:space="0" w:color="BFD3D3"/>
              <w:bottom w:val="single" w:sz="4" w:space="0" w:color="BFD3D3"/>
              <w:right w:val="single" w:sz="4" w:space="0" w:color="BFD3D3"/>
            </w:tcBorders>
            <w:tcMar>
              <w:top w:w="80" w:type="dxa"/>
              <w:left w:w="108" w:type="dxa"/>
              <w:bottom w:w="80" w:type="dxa"/>
              <w:right w:w="108" w:type="dxa"/>
            </w:tcMar>
            <w:vAlign w:val="center"/>
          </w:tcPr>
          <w:p w14:paraId="65172E99" w14:textId="77777777" w:rsidR="00AF5E24" w:rsidRDefault="00000000">
            <w:pPr>
              <w:spacing w:line="264" w:lineRule="auto"/>
            </w:pPr>
            <w:r>
              <w:rPr>
                <w:sz w:val="21"/>
                <w:szCs w:val="21"/>
              </w:rPr>
              <w:t>[Name]</w:t>
            </w:r>
          </w:p>
        </w:tc>
      </w:tr>
    </w:tbl>
    <w:p w14:paraId="184D61B0" w14:textId="77777777" w:rsidR="001D237A" w:rsidRDefault="001D237A"/>
    <w:sectPr w:rsidR="001D237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58FA" w14:textId="77777777" w:rsidR="00A02C3B" w:rsidRDefault="00A02C3B">
      <w:r>
        <w:separator/>
      </w:r>
    </w:p>
  </w:endnote>
  <w:endnote w:type="continuationSeparator" w:id="0">
    <w:p w14:paraId="40FA92D1" w14:textId="77777777" w:rsidR="00A02C3B" w:rsidRDefault="00A0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96D2" w14:textId="77777777" w:rsidR="00C2119A" w:rsidRDefault="00C211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FAC" w14:textId="7161BAC5" w:rsidR="00AF5E24" w:rsidRDefault="00000000" w:rsidP="00C2119A">
    <w:pPr>
      <w:pBdr>
        <w:top w:val="single" w:sz="6" w:space="6" w:color="BFD3D3"/>
      </w:pBdr>
      <w:tabs>
        <w:tab w:val="left" w:pos="2920"/>
        <w:tab w:val="right" w:pos="9026"/>
      </w:tabs>
    </w:pPr>
    <w:r>
      <w:rPr>
        <w:color w:val="555555"/>
        <w:sz w:val="16"/>
        <w:szCs w:val="16"/>
      </w:rPr>
      <w:t>Access and Equity Policy • Version 1.</w:t>
    </w:r>
    <w:r w:rsidR="00405787">
      <w:rPr>
        <w:color w:val="555555"/>
        <w:sz w:val="16"/>
        <w:szCs w:val="16"/>
      </w:rPr>
      <w:t>1</w:t>
    </w:r>
    <w:r>
      <w:rPr>
        <w:color w:val="555555"/>
        <w:sz w:val="16"/>
        <w:szCs w:val="16"/>
      </w:rPr>
      <w:tab/>
    </w:r>
    <w:r w:rsidR="00C2119A">
      <w:rPr>
        <w:color w:val="555555"/>
        <w:sz w:val="16"/>
        <w:szCs w:val="16"/>
      </w:rPr>
      <w:t>December 202</w:t>
    </w:r>
    <w:r w:rsidR="00405787">
      <w:rPr>
        <w:color w:val="555555"/>
        <w:sz w:val="16"/>
        <w:szCs w:val="16"/>
      </w:rPr>
      <w:t>5</w:t>
    </w:r>
    <w:r w:rsidR="00C2119A">
      <w:rPr>
        <w:color w:val="555555"/>
        <w:sz w:val="16"/>
        <w:szCs w:val="16"/>
      </w:rPr>
      <w:tab/>
    </w:r>
    <w:r>
      <w:rPr>
        <w:color w:val="555555"/>
        <w:sz w:val="16"/>
        <w:szCs w:val="16"/>
      </w:rPr>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sidR="002956F9">
      <w:rPr>
        <w:noProof/>
        <w:color w:val="555555"/>
        <w:sz w:val="16"/>
        <w:szCs w:val="16"/>
      </w:rPr>
      <w:t>10</w:t>
    </w:r>
    <w:r>
      <w:rPr>
        <w:color w:val="555555"/>
        <w:sz w:val="16"/>
        <w:szCs w:val="16"/>
      </w:rPr>
      <w:fldChar w:fldCharType="end"/>
    </w:r>
    <w:r>
      <w:rPr>
        <w:color w:val="555555"/>
        <w:sz w:val="16"/>
        <w:szCs w:val="16"/>
      </w:rPr>
      <w:t xml:space="preserve"> of </w:t>
    </w:r>
    <w:r>
      <w:rPr>
        <w:color w:val="555555"/>
        <w:sz w:val="16"/>
        <w:szCs w:val="16"/>
      </w:rPr>
      <w:fldChar w:fldCharType="begin"/>
    </w:r>
    <w:r>
      <w:rPr>
        <w:color w:val="555555"/>
        <w:sz w:val="16"/>
        <w:szCs w:val="16"/>
      </w:rPr>
      <w:instrText>NUMPAGES</w:instrText>
    </w:r>
    <w:r>
      <w:rPr>
        <w:color w:val="555555"/>
        <w:sz w:val="16"/>
        <w:szCs w:val="16"/>
      </w:rPr>
      <w:fldChar w:fldCharType="separate"/>
    </w:r>
    <w:r w:rsidR="002956F9">
      <w:rPr>
        <w:noProof/>
        <w:color w:val="555555"/>
        <w:sz w:val="16"/>
        <w:szCs w:val="16"/>
      </w:rPr>
      <w:t>1</w:t>
    </w:r>
    <w:r>
      <w:rPr>
        <w:color w:val="555555"/>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309E" w14:textId="77777777" w:rsidR="00C2119A" w:rsidRDefault="00C21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228C6" w14:textId="77777777" w:rsidR="00A02C3B" w:rsidRDefault="00A02C3B">
      <w:r>
        <w:separator/>
      </w:r>
    </w:p>
  </w:footnote>
  <w:footnote w:type="continuationSeparator" w:id="0">
    <w:p w14:paraId="6A8058B7" w14:textId="77777777" w:rsidR="00A02C3B" w:rsidRDefault="00A02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2725" w14:textId="77777777" w:rsidR="00C2119A" w:rsidRDefault="00C211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D897" w14:textId="77777777" w:rsidR="00AF5E24" w:rsidRDefault="00000000">
    <w:pPr>
      <w:pBdr>
        <w:bottom w:val="single" w:sz="10" w:space="6" w:color="ED8630"/>
      </w:pBdr>
      <w:jc w:val="center"/>
    </w:pPr>
    <w:r>
      <w:rPr>
        <w:noProof/>
      </w:rPr>
      <w:drawing>
        <wp:inline distT="0" distB="0" distL="0" distR="0" wp14:anchorId="771214E8" wp14:editId="0BB902A5">
          <wp:extent cx="1428750" cy="1066800"/>
          <wp:effectExtent l="0" t="0" r="0" b="0"/>
          <wp:docPr id="1" name="logo" descr="College crest logo" title="Britts Imperial Colleg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106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ABC6" w14:textId="77777777" w:rsidR="00C2119A" w:rsidRDefault="00C21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65A24"/>
    <w:multiLevelType w:val="hybridMultilevel"/>
    <w:tmpl w:val="D1E495B8"/>
    <w:lvl w:ilvl="0" w:tplc="21FE8ACC">
      <w:start w:val="1"/>
      <w:numFmt w:val="bullet"/>
      <w:lvlText w:val="•"/>
      <w:lvlJc w:val="left"/>
      <w:pPr>
        <w:ind w:left="600" w:hanging="300"/>
      </w:pPr>
      <w:rPr>
        <w:color w:val="014344"/>
      </w:rPr>
    </w:lvl>
    <w:lvl w:ilvl="1" w:tplc="3DE297D4">
      <w:numFmt w:val="decimal"/>
      <w:lvlText w:val=""/>
      <w:lvlJc w:val="left"/>
    </w:lvl>
    <w:lvl w:ilvl="2" w:tplc="39062512">
      <w:numFmt w:val="decimal"/>
      <w:lvlText w:val=""/>
      <w:lvlJc w:val="left"/>
    </w:lvl>
    <w:lvl w:ilvl="3" w:tplc="802A7052">
      <w:numFmt w:val="decimal"/>
      <w:lvlText w:val=""/>
      <w:lvlJc w:val="left"/>
    </w:lvl>
    <w:lvl w:ilvl="4" w:tplc="71C61AB4">
      <w:numFmt w:val="decimal"/>
      <w:lvlText w:val=""/>
      <w:lvlJc w:val="left"/>
    </w:lvl>
    <w:lvl w:ilvl="5" w:tplc="D62E549C">
      <w:numFmt w:val="decimal"/>
      <w:lvlText w:val=""/>
      <w:lvlJc w:val="left"/>
    </w:lvl>
    <w:lvl w:ilvl="6" w:tplc="5B403F62">
      <w:numFmt w:val="decimal"/>
      <w:lvlText w:val=""/>
      <w:lvlJc w:val="left"/>
    </w:lvl>
    <w:lvl w:ilvl="7" w:tplc="EEBAF848">
      <w:numFmt w:val="decimal"/>
      <w:lvlText w:val=""/>
      <w:lvlJc w:val="left"/>
    </w:lvl>
    <w:lvl w:ilvl="8" w:tplc="782EEFB2">
      <w:numFmt w:val="decimal"/>
      <w:lvlText w:val=""/>
      <w:lvlJc w:val="left"/>
    </w:lvl>
  </w:abstractNum>
  <w:abstractNum w:abstractNumId="1" w15:restartNumberingAfterBreak="0">
    <w:nsid w:val="41592B19"/>
    <w:multiLevelType w:val="hybridMultilevel"/>
    <w:tmpl w:val="317CF04C"/>
    <w:lvl w:ilvl="0" w:tplc="29AABEFC">
      <w:start w:val="1"/>
      <w:numFmt w:val="bullet"/>
      <w:lvlText w:val="●"/>
      <w:lvlJc w:val="left"/>
      <w:pPr>
        <w:ind w:left="720" w:hanging="360"/>
      </w:pPr>
    </w:lvl>
    <w:lvl w:ilvl="1" w:tplc="55483728">
      <w:start w:val="1"/>
      <w:numFmt w:val="bullet"/>
      <w:lvlText w:val="○"/>
      <w:lvlJc w:val="left"/>
      <w:pPr>
        <w:ind w:left="1440" w:hanging="360"/>
      </w:pPr>
    </w:lvl>
    <w:lvl w:ilvl="2" w:tplc="631809D8">
      <w:start w:val="1"/>
      <w:numFmt w:val="bullet"/>
      <w:lvlText w:val="■"/>
      <w:lvlJc w:val="left"/>
      <w:pPr>
        <w:ind w:left="2160" w:hanging="360"/>
      </w:pPr>
    </w:lvl>
    <w:lvl w:ilvl="3" w:tplc="F29CE522">
      <w:start w:val="1"/>
      <w:numFmt w:val="bullet"/>
      <w:lvlText w:val="●"/>
      <w:lvlJc w:val="left"/>
      <w:pPr>
        <w:ind w:left="2880" w:hanging="360"/>
      </w:pPr>
    </w:lvl>
    <w:lvl w:ilvl="4" w:tplc="FF3098C0">
      <w:start w:val="1"/>
      <w:numFmt w:val="bullet"/>
      <w:lvlText w:val="○"/>
      <w:lvlJc w:val="left"/>
      <w:pPr>
        <w:ind w:left="3600" w:hanging="360"/>
      </w:pPr>
    </w:lvl>
    <w:lvl w:ilvl="5" w:tplc="8B5A5FFA">
      <w:start w:val="1"/>
      <w:numFmt w:val="bullet"/>
      <w:lvlText w:val="■"/>
      <w:lvlJc w:val="left"/>
      <w:pPr>
        <w:ind w:left="4320" w:hanging="360"/>
      </w:pPr>
    </w:lvl>
    <w:lvl w:ilvl="6" w:tplc="8A2C1E10">
      <w:start w:val="1"/>
      <w:numFmt w:val="bullet"/>
      <w:lvlText w:val="●"/>
      <w:lvlJc w:val="left"/>
      <w:pPr>
        <w:ind w:left="5040" w:hanging="360"/>
      </w:pPr>
    </w:lvl>
    <w:lvl w:ilvl="7" w:tplc="9F1CA5E8">
      <w:start w:val="1"/>
      <w:numFmt w:val="bullet"/>
      <w:lvlText w:val="●"/>
      <w:lvlJc w:val="left"/>
      <w:pPr>
        <w:ind w:left="5760" w:hanging="360"/>
      </w:pPr>
    </w:lvl>
    <w:lvl w:ilvl="8" w:tplc="3CACFF1A">
      <w:start w:val="1"/>
      <w:numFmt w:val="bullet"/>
      <w:lvlText w:val="●"/>
      <w:lvlJc w:val="left"/>
      <w:pPr>
        <w:ind w:left="6480" w:hanging="360"/>
      </w:pPr>
    </w:lvl>
  </w:abstractNum>
  <w:num w:numId="1" w16cid:durableId="820076850">
    <w:abstractNumId w:val="1"/>
    <w:lvlOverride w:ilvl="0">
      <w:startOverride w:val="1"/>
    </w:lvlOverride>
  </w:num>
  <w:num w:numId="2" w16cid:durableId="18828579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E24"/>
    <w:rsid w:val="001D237A"/>
    <w:rsid w:val="002956F9"/>
    <w:rsid w:val="003D5E95"/>
    <w:rsid w:val="00405787"/>
    <w:rsid w:val="004162A8"/>
    <w:rsid w:val="00A02C3B"/>
    <w:rsid w:val="00AF5E24"/>
    <w:rsid w:val="00C2119A"/>
    <w:rsid w:val="00EA0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5EA2"/>
  <w15:docId w15:val="{556E0ABE-1BC1-4681-91FE-03ED33BD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4" w:color="BFD3D3"/>
      </w:pBdr>
      <w:spacing w:before="320" w:after="140"/>
      <w:outlineLvl w:val="0"/>
    </w:pPr>
    <w:rPr>
      <w:b/>
      <w:bCs/>
      <w:color w:val="014344"/>
      <w:sz w:val="28"/>
      <w:szCs w:val="28"/>
    </w:rPr>
  </w:style>
  <w:style w:type="paragraph" w:styleId="Heading2">
    <w:name w:val="heading 2"/>
    <w:uiPriority w:val="9"/>
    <w:semiHidden/>
    <w:unhideWhenUsed/>
    <w:qFormat/>
    <w:pPr>
      <w:spacing w:before="220" w:after="100"/>
      <w:outlineLvl w:val="1"/>
    </w:pPr>
    <w:rPr>
      <w:b/>
      <w:bCs/>
      <w:color w:val="01434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uiPriority w:val="39"/>
    <w:pPr>
      <w:spacing w:before="40" w:after="40"/>
    </w:pPr>
    <w:rPr>
      <w:b/>
      <w:bCs/>
      <w:color w:val="014344"/>
    </w:rPr>
  </w:style>
  <w:style w:type="paragraph" w:styleId="TOC2">
    <w:name w:val="toc 2"/>
    <w:pPr>
      <w:spacing w:after="20"/>
      <w:ind w:left="360"/>
    </w:pPr>
    <w:rPr>
      <w:sz w:val="21"/>
      <w:szCs w:val="21"/>
    </w:rPr>
  </w:style>
  <w:style w:type="paragraph" w:styleId="Header">
    <w:name w:val="header"/>
    <w:basedOn w:val="Normal"/>
    <w:link w:val="HeaderChar"/>
    <w:uiPriority w:val="99"/>
    <w:unhideWhenUsed/>
    <w:rsid w:val="00C2119A"/>
    <w:pPr>
      <w:tabs>
        <w:tab w:val="center" w:pos="4513"/>
        <w:tab w:val="right" w:pos="9026"/>
      </w:tabs>
    </w:pPr>
  </w:style>
  <w:style w:type="character" w:customStyle="1" w:styleId="HeaderChar">
    <w:name w:val="Header Char"/>
    <w:basedOn w:val="DefaultParagraphFont"/>
    <w:link w:val="Header"/>
    <w:uiPriority w:val="99"/>
    <w:rsid w:val="00C2119A"/>
  </w:style>
  <w:style w:type="paragraph" w:styleId="Footer">
    <w:name w:val="footer"/>
    <w:basedOn w:val="Normal"/>
    <w:link w:val="FooterChar"/>
    <w:uiPriority w:val="99"/>
    <w:unhideWhenUsed/>
    <w:rsid w:val="00C2119A"/>
    <w:pPr>
      <w:tabs>
        <w:tab w:val="center" w:pos="4513"/>
        <w:tab w:val="right" w:pos="9026"/>
      </w:tabs>
    </w:pPr>
  </w:style>
  <w:style w:type="character" w:customStyle="1" w:styleId="FooterChar">
    <w:name w:val="Footer Char"/>
    <w:basedOn w:val="DefaultParagraphFont"/>
    <w:link w:val="Footer"/>
    <w:uiPriority w:val="99"/>
    <w:rsid w:val="00C21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2241</Words>
  <Characters>12779</Characters>
  <Application>Microsoft Office Word</Application>
  <DocSecurity>0</DocSecurity>
  <Lines>106</Lines>
  <Paragraphs>29</Paragraphs>
  <ScaleCrop>false</ScaleCrop>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and Equity Policy</dc:title>
  <dc:creator>Britts Imperial College Australia</dc:creator>
  <cp:lastModifiedBy>Nikki Salomon</cp:lastModifiedBy>
  <cp:revision>4</cp:revision>
  <dcterms:created xsi:type="dcterms:W3CDTF">2026-06-12T03:35:00Z</dcterms:created>
  <dcterms:modified xsi:type="dcterms:W3CDTF">2026-06-15T00:32:00Z</dcterms:modified>
</cp:coreProperties>
</file>